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sz w:val="48"/>
          <w:szCs w:val="48"/>
        </w:rPr>
      </w:pPr>
      <w:bookmarkStart w:id="0" w:name="_GoBack"/>
      <w:bookmarkEnd w:id="0"/>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eastAsia="zh-CN"/>
        </w:rPr>
        <w:t>上江圩镇中心小学</w:t>
      </w:r>
      <w:r>
        <w:rPr>
          <w:rFonts w:eastAsia="方正小标宋_GBK"/>
          <w:sz w:val="48"/>
          <w:szCs w:val="48"/>
        </w:rPr>
        <w:t>整体支出</w:t>
      </w: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sz w:val="48"/>
          <w:szCs w:val="48"/>
        </w:rPr>
      </w:pPr>
      <w:r>
        <w:rPr>
          <w:rFonts w:eastAsia="方正小标宋_GBK"/>
          <w:sz w:val="48"/>
          <w:szCs w:val="48"/>
        </w:rPr>
        <w:t>绩效自评报告</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pPr>
        <w:keepNext w:val="0"/>
        <w:keepLines w:val="0"/>
        <w:pageBreakBefore w:val="0"/>
        <w:kinsoku/>
        <w:wordWrap/>
        <w:overflowPunct/>
        <w:topLinePunct w:val="0"/>
        <w:autoSpaceDE/>
        <w:autoSpaceDN/>
        <w:bidi w:val="0"/>
        <w:adjustRightInd/>
        <w:snapToGrid/>
        <w:spacing w:line="240" w:lineRule="atLeast"/>
        <w:ind w:left="0" w:firstLine="880" w:firstLineChars="200"/>
        <w:jc w:val="center"/>
        <w:rPr>
          <w:rFonts w:eastAsia="黑体"/>
          <w:sz w:val="44"/>
          <w:szCs w:val="44"/>
        </w:rPr>
      </w:pPr>
    </w:p>
    <w:p>
      <w:pPr>
        <w:keepNext w:val="0"/>
        <w:keepLines w:val="0"/>
        <w:pageBreakBefore w:val="0"/>
        <w:kinsoku/>
        <w:wordWrap/>
        <w:overflowPunct/>
        <w:topLinePunct w:val="0"/>
        <w:autoSpaceDE/>
        <w:autoSpaceDN/>
        <w:bidi w:val="0"/>
        <w:adjustRightInd/>
        <w:snapToGrid/>
        <w:spacing w:line="240" w:lineRule="atLeast"/>
        <w:ind w:left="0" w:firstLine="720" w:firstLineChars="200"/>
        <w:jc w:val="center"/>
        <w:rPr>
          <w:rFonts w:eastAsia="黑体"/>
          <w:sz w:val="36"/>
          <w:szCs w:val="36"/>
        </w:rPr>
      </w:pPr>
      <w:r>
        <w:rPr>
          <w:rFonts w:eastAsia="黑体"/>
          <w:sz w:val="36"/>
          <w:szCs w:val="36"/>
        </w:rPr>
        <w:t>单位名称（盖章）：</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6"/>
          <w:szCs w:val="36"/>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2"/>
          <w:szCs w:val="32"/>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仿宋_GB2312"/>
          <w:sz w:val="32"/>
          <w:szCs w:val="32"/>
        </w:rPr>
      </w:pPr>
      <w:r>
        <w:rPr>
          <w:rFonts w:eastAsia="仿宋_GB2312"/>
          <w:sz w:val="32"/>
          <w:szCs w:val="32"/>
        </w:rPr>
        <w:t>（此页为封面）</w:t>
      </w:r>
    </w:p>
    <w:p>
      <w:pPr>
        <w:keepNext w:val="0"/>
        <w:keepLines w:val="0"/>
        <w:pageBreakBefore w:val="0"/>
        <w:kinsoku/>
        <w:wordWrap/>
        <w:overflowPunct/>
        <w:topLinePunct w:val="0"/>
        <w:autoSpaceDE/>
        <w:autoSpaceDN/>
        <w:bidi w:val="0"/>
        <w:adjustRightInd/>
        <w:snapToGrid/>
        <w:spacing w:line="240" w:lineRule="atLeast"/>
        <w:ind w:left="0" w:firstLine="640" w:firstLineChars="200"/>
        <w:rPr>
          <w:rFonts w:eastAsia="黑体"/>
          <w:sz w:val="30"/>
          <w:szCs w:val="30"/>
        </w:rPr>
      </w:pPr>
      <w:r>
        <w:rPr>
          <w:rFonts w:eastAsia="仿宋_GB2312"/>
          <w:sz w:val="32"/>
          <w:szCs w:val="32"/>
        </w:rPr>
        <w:br w:type="page"/>
      </w:r>
      <w:r>
        <w:rPr>
          <w:rFonts w:eastAsia="黑体"/>
          <w:sz w:val="30"/>
          <w:szCs w:val="30"/>
        </w:rPr>
        <w:t>一、基本情况</w:t>
      </w:r>
    </w:p>
    <w:p>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sz w:val="30"/>
          <w:szCs w:val="30"/>
        </w:rPr>
      </w:pPr>
      <w:r>
        <w:rPr>
          <w:rFonts w:eastAsia="楷体_GB2312"/>
          <w:b/>
          <w:sz w:val="30"/>
          <w:szCs w:val="30"/>
        </w:rPr>
        <w:t>（一）部门（单位）基本情况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主要职能：本单位为</w:t>
      </w:r>
      <w:r>
        <w:rPr>
          <w:rFonts w:hint="eastAsia" w:ascii="仿宋" w:hAnsi="仿宋" w:eastAsia="仿宋" w:cs="仿宋"/>
          <w:b w:val="0"/>
          <w:bCs/>
          <w:sz w:val="30"/>
          <w:szCs w:val="30"/>
          <w:lang w:eastAsia="zh-CN"/>
        </w:rPr>
        <w:t>江永县</w:t>
      </w:r>
      <w:r>
        <w:rPr>
          <w:rFonts w:hint="eastAsia" w:ascii="仿宋" w:hAnsi="仿宋" w:eastAsia="仿宋" w:cs="仿宋"/>
          <w:b w:val="0"/>
          <w:bCs/>
          <w:sz w:val="30"/>
          <w:szCs w:val="30"/>
        </w:rPr>
        <w:t>教育局所属二级预算单位，单位性质为</w:t>
      </w:r>
      <w:r>
        <w:rPr>
          <w:rFonts w:hint="eastAsia" w:ascii="仿宋" w:hAnsi="仿宋" w:eastAsia="仿宋" w:cs="仿宋"/>
          <w:b w:val="0"/>
          <w:bCs/>
          <w:sz w:val="30"/>
          <w:szCs w:val="30"/>
          <w:lang w:eastAsia="zh-CN"/>
        </w:rPr>
        <w:t>全额</w:t>
      </w:r>
      <w:r>
        <w:rPr>
          <w:rFonts w:hint="eastAsia" w:ascii="仿宋" w:hAnsi="仿宋" w:eastAsia="仿宋" w:cs="仿宋"/>
          <w:b w:val="0"/>
          <w:bCs/>
          <w:sz w:val="30"/>
          <w:szCs w:val="30"/>
        </w:rPr>
        <w:t>财政补助事业单位，主要职能为实施九年义务教育、促进基础教育发展，小学学历教育。</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机构情况：我校设有校长室、党支部、办公室、教导处、</w:t>
      </w:r>
      <w:r>
        <w:rPr>
          <w:rFonts w:hint="eastAsia" w:ascii="仿宋" w:hAnsi="仿宋" w:eastAsia="仿宋" w:cs="仿宋"/>
          <w:b w:val="0"/>
          <w:bCs/>
          <w:sz w:val="30"/>
          <w:szCs w:val="30"/>
          <w:lang w:eastAsia="zh-CN"/>
        </w:rPr>
        <w:t>政教</w:t>
      </w:r>
      <w:r>
        <w:rPr>
          <w:rFonts w:hint="eastAsia" w:ascii="仿宋" w:hAnsi="仿宋" w:eastAsia="仿宋" w:cs="仿宋"/>
          <w:b w:val="0"/>
          <w:bCs/>
          <w:sz w:val="30"/>
          <w:szCs w:val="30"/>
        </w:rPr>
        <w:t>处、工会、总务处等部门。3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人员情况：202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年本单位年末实有人数</w:t>
      </w:r>
      <w:r>
        <w:rPr>
          <w:rFonts w:hint="eastAsia" w:ascii="仿宋" w:hAnsi="仿宋" w:eastAsia="仿宋" w:cs="仿宋"/>
          <w:b w:val="0"/>
          <w:bCs/>
          <w:sz w:val="30"/>
          <w:szCs w:val="30"/>
          <w:lang w:val="en-US" w:eastAsia="zh-CN"/>
        </w:rPr>
        <w:t>141</w:t>
      </w:r>
      <w:r>
        <w:rPr>
          <w:rFonts w:hint="eastAsia" w:ascii="仿宋" w:hAnsi="仿宋" w:eastAsia="仿宋" w:cs="仿宋"/>
          <w:b w:val="0"/>
          <w:bCs/>
          <w:sz w:val="30"/>
          <w:szCs w:val="30"/>
        </w:rPr>
        <w:t>人，</w:t>
      </w:r>
      <w:r>
        <w:rPr>
          <w:rFonts w:hint="eastAsia" w:ascii="仿宋" w:hAnsi="仿宋" w:eastAsia="仿宋" w:cs="仿宋"/>
          <w:b w:val="0"/>
          <w:bCs/>
          <w:sz w:val="30"/>
          <w:szCs w:val="30"/>
          <w:lang w:eastAsia="zh-CN"/>
        </w:rPr>
        <w:t>其中</w:t>
      </w:r>
      <w:r>
        <w:rPr>
          <w:rFonts w:hint="eastAsia" w:ascii="仿宋" w:hAnsi="仿宋" w:eastAsia="仿宋" w:cs="仿宋"/>
          <w:b w:val="0"/>
          <w:bCs/>
          <w:sz w:val="30"/>
          <w:szCs w:val="30"/>
        </w:rPr>
        <w:t>在编</w:t>
      </w:r>
      <w:r>
        <w:rPr>
          <w:rFonts w:hint="eastAsia" w:ascii="仿宋" w:hAnsi="仿宋" w:eastAsia="仿宋" w:cs="仿宋"/>
          <w:b w:val="0"/>
          <w:bCs/>
          <w:sz w:val="30"/>
          <w:szCs w:val="30"/>
          <w:lang w:eastAsia="zh-CN"/>
        </w:rPr>
        <w:t>在岗教师</w:t>
      </w:r>
      <w:r>
        <w:rPr>
          <w:rFonts w:hint="eastAsia" w:ascii="仿宋" w:hAnsi="仿宋" w:eastAsia="仿宋" w:cs="仿宋"/>
          <w:b w:val="0"/>
          <w:bCs/>
          <w:sz w:val="30"/>
          <w:szCs w:val="30"/>
          <w:lang w:val="en-US" w:eastAsia="zh-CN"/>
        </w:rPr>
        <w:t>89</w:t>
      </w:r>
      <w:r>
        <w:rPr>
          <w:rFonts w:hint="eastAsia" w:ascii="仿宋" w:hAnsi="仿宋" w:eastAsia="仿宋" w:cs="仿宋"/>
          <w:b w:val="0"/>
          <w:bCs/>
          <w:sz w:val="30"/>
          <w:szCs w:val="30"/>
        </w:rPr>
        <w:t>人，退休</w:t>
      </w:r>
      <w:r>
        <w:rPr>
          <w:rFonts w:hint="eastAsia" w:ascii="仿宋" w:hAnsi="仿宋" w:eastAsia="仿宋" w:cs="仿宋"/>
          <w:b w:val="0"/>
          <w:bCs/>
          <w:sz w:val="30"/>
          <w:szCs w:val="30"/>
          <w:lang w:eastAsia="zh-CN"/>
        </w:rPr>
        <w:t>教师</w:t>
      </w:r>
      <w:r>
        <w:rPr>
          <w:rFonts w:hint="eastAsia" w:ascii="仿宋" w:hAnsi="仿宋" w:eastAsia="仿宋" w:cs="仿宋"/>
          <w:b w:val="0"/>
          <w:bCs/>
          <w:sz w:val="30"/>
          <w:szCs w:val="30"/>
          <w:lang w:val="en-US" w:eastAsia="zh-CN"/>
        </w:rPr>
        <w:t>52</w:t>
      </w:r>
      <w:r>
        <w:rPr>
          <w:rFonts w:hint="eastAsia" w:ascii="仿宋" w:hAnsi="仿宋" w:eastAsia="仿宋" w:cs="仿宋"/>
          <w:b w:val="0"/>
          <w:bCs/>
          <w:sz w:val="30"/>
          <w:szCs w:val="30"/>
        </w:rPr>
        <w:t>人。</w:t>
      </w:r>
    </w:p>
    <w:p>
      <w:pPr>
        <w:keepNext w:val="0"/>
        <w:keepLines w:val="0"/>
        <w:pageBreakBefore w:val="0"/>
        <w:kinsoku/>
        <w:wordWrap/>
        <w:overflowPunct/>
        <w:topLinePunct w:val="0"/>
        <w:autoSpaceDE/>
        <w:autoSpaceDN/>
        <w:bidi w:val="0"/>
        <w:adjustRightInd/>
        <w:snapToGrid/>
        <w:spacing w:line="240" w:lineRule="atLeast"/>
        <w:ind w:left="0" w:firstLine="602" w:firstLineChars="200"/>
        <w:rPr>
          <w:rFonts w:eastAsia="楷体_GB2312"/>
          <w:b/>
          <w:sz w:val="30"/>
          <w:szCs w:val="30"/>
        </w:rPr>
      </w:pPr>
      <w:r>
        <w:rPr>
          <w:rFonts w:eastAsia="楷体_GB2312"/>
          <w:b/>
          <w:sz w:val="30"/>
          <w:szCs w:val="30"/>
        </w:rPr>
        <w:t>（二）部门（单位）年度整体支出绩效目标，省级专项资金绩效目标、其他项目支出（除省级专项资金以外）绩效目标</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二、一般公共预算支出情况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sz w:val="30"/>
          <w:szCs w:val="30"/>
        </w:rPr>
      </w:pPr>
      <w:r>
        <w:rPr>
          <w:rFonts w:ascii="Times New Roman" w:hAnsi="Times New Roman" w:eastAsia="楷体_GB2312"/>
          <w:b/>
          <w:sz w:val="30"/>
          <w:szCs w:val="30"/>
        </w:rPr>
        <w:t>（一）基本支出情况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预算情况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lang w:val="en-US" w:eastAsia="zh-CN"/>
        </w:rPr>
        <w:t>1）</w:t>
      </w:r>
      <w:r>
        <w:rPr>
          <w:rFonts w:hint="eastAsia" w:ascii="仿宋" w:hAnsi="仿宋" w:eastAsia="仿宋" w:cs="仿宋"/>
          <w:b w:val="0"/>
          <w:bCs/>
          <w:sz w:val="30"/>
          <w:szCs w:val="30"/>
        </w:rPr>
        <w:t>年初预算情况：年初预算收入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万元，其中预算内拨款</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万元，非税收入0万元，其他拨款0万元。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年中追加和调减预算情况：202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年年中追加金额</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万元，财政收回金额0万元。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全年总预算情况：①202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年实际收入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万元（其中财政收入</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万元，其他收入</w:t>
      </w:r>
      <w:r>
        <w:rPr>
          <w:rFonts w:hint="eastAsia" w:ascii="仿宋" w:hAnsi="仿宋" w:eastAsia="仿宋" w:cs="仿宋"/>
          <w:b w:val="0"/>
          <w:bCs/>
          <w:sz w:val="30"/>
          <w:szCs w:val="30"/>
          <w:lang w:val="en-US" w:eastAsia="zh-CN"/>
        </w:rPr>
        <w:t>0</w:t>
      </w:r>
      <w:r>
        <w:rPr>
          <w:rFonts w:hint="eastAsia" w:ascii="仿宋" w:hAnsi="仿宋" w:eastAsia="仿宋" w:cs="仿宋"/>
          <w:b w:val="0"/>
          <w:bCs/>
          <w:sz w:val="30"/>
          <w:szCs w:val="30"/>
        </w:rPr>
        <w:t>万元）。202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年度部门实际财政支出</w:t>
      </w:r>
      <w:r>
        <w:rPr>
          <w:rFonts w:hint="eastAsia" w:ascii="仿宋" w:hAnsi="仿宋" w:eastAsia="仿宋" w:cs="仿宋"/>
          <w:b w:val="0"/>
          <w:bCs/>
          <w:sz w:val="30"/>
          <w:szCs w:val="30"/>
          <w:lang w:val="en-US" w:eastAsia="zh-CN"/>
        </w:rPr>
        <w:t>1247.06</w:t>
      </w:r>
      <w:r>
        <w:rPr>
          <w:rFonts w:hint="eastAsia" w:ascii="仿宋" w:hAnsi="仿宋" w:eastAsia="仿宋" w:cs="仿宋"/>
          <w:b w:val="0"/>
          <w:bCs/>
          <w:sz w:val="30"/>
          <w:szCs w:val="30"/>
        </w:rPr>
        <w:t>万元。②预算调整率为0%。③202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年结余资金0万元，低于上年结转资金0万元。④三公经费控制率为0%。“三公”经费实际支出</w:t>
      </w:r>
      <w:r>
        <w:rPr>
          <w:rFonts w:hint="eastAsia" w:ascii="仿宋" w:hAnsi="仿宋" w:eastAsia="仿宋" w:cs="仿宋"/>
          <w:b w:val="0"/>
          <w:bCs/>
          <w:sz w:val="30"/>
          <w:szCs w:val="30"/>
          <w:lang w:val="en-US" w:eastAsia="zh-CN"/>
        </w:rPr>
        <w:t>2.96</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比上年度预算下降</w:t>
      </w:r>
      <w:r>
        <w:rPr>
          <w:rFonts w:hint="eastAsia" w:ascii="仿宋" w:hAnsi="仿宋" w:eastAsia="仿宋" w:cs="仿宋"/>
          <w:b w:val="0"/>
          <w:bCs/>
          <w:sz w:val="30"/>
          <w:szCs w:val="30"/>
          <w:lang w:val="en-US" w:eastAsia="zh-CN"/>
        </w:rPr>
        <w:t>0.08</w:t>
      </w:r>
      <w:r>
        <w:rPr>
          <w:rFonts w:hint="eastAsia" w:ascii="仿宋" w:hAnsi="仿宋" w:eastAsia="仿宋" w:cs="仿宋"/>
          <w:b w:val="0"/>
          <w:bCs/>
          <w:sz w:val="30"/>
          <w:szCs w:val="30"/>
        </w:rPr>
        <w:t xml:space="preserve">万元。  </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2、</w:t>
      </w:r>
      <w:r>
        <w:rPr>
          <w:rFonts w:hint="eastAsia" w:ascii="仿宋" w:hAnsi="仿宋" w:eastAsia="仿宋" w:cs="仿宋"/>
          <w:b w:val="0"/>
          <w:bCs/>
          <w:sz w:val="30"/>
          <w:szCs w:val="30"/>
        </w:rPr>
        <w:t>预算执行情况</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1</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基本支出执行情况：202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年度基本支出</w:t>
      </w:r>
      <w:r>
        <w:rPr>
          <w:rFonts w:hint="eastAsia" w:ascii="仿宋" w:hAnsi="仿宋" w:eastAsia="仿宋" w:cs="仿宋"/>
          <w:b w:val="0"/>
          <w:bCs/>
          <w:sz w:val="30"/>
          <w:szCs w:val="30"/>
          <w:lang w:val="en-US" w:eastAsia="zh-CN"/>
        </w:rPr>
        <w:t>862.333529</w:t>
      </w:r>
      <w:r>
        <w:rPr>
          <w:rFonts w:hint="eastAsia" w:ascii="仿宋" w:hAnsi="仿宋" w:eastAsia="仿宋" w:cs="仿宋"/>
          <w:b w:val="0"/>
          <w:bCs/>
          <w:sz w:val="30"/>
          <w:szCs w:val="30"/>
        </w:rPr>
        <w:t>万元。</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2</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业务性专项执行情况：202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年度无业务性专项。</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3</w:t>
      </w:r>
      <w:r>
        <w:rPr>
          <w:rFonts w:hint="eastAsia" w:ascii="仿宋" w:hAnsi="仿宋" w:eastAsia="仿宋" w:cs="仿宋"/>
          <w:b w:val="0"/>
          <w:bCs/>
          <w:sz w:val="30"/>
          <w:szCs w:val="30"/>
          <w:lang w:eastAsia="zh-CN"/>
        </w:rPr>
        <w:t>）</w:t>
      </w:r>
      <w:r>
        <w:rPr>
          <w:rFonts w:hint="eastAsia" w:ascii="仿宋" w:hAnsi="仿宋" w:eastAsia="仿宋" w:cs="仿宋"/>
          <w:b w:val="0"/>
          <w:bCs/>
          <w:sz w:val="30"/>
          <w:szCs w:val="30"/>
        </w:rPr>
        <w:t>项目性专项执行情况：202</w:t>
      </w: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年度项目支出</w:t>
      </w:r>
      <w:r>
        <w:rPr>
          <w:rFonts w:hint="eastAsia" w:ascii="仿宋" w:hAnsi="仿宋" w:eastAsia="仿宋" w:cs="仿宋"/>
          <w:b w:val="0"/>
          <w:bCs/>
          <w:sz w:val="30"/>
          <w:szCs w:val="30"/>
          <w:lang w:val="en-US" w:eastAsia="zh-CN"/>
        </w:rPr>
        <w:t>384.725738</w:t>
      </w:r>
      <w:r>
        <w:rPr>
          <w:rFonts w:hint="eastAsia" w:ascii="仿宋" w:hAnsi="仿宋" w:eastAsia="仿宋" w:cs="仿宋"/>
          <w:b w:val="0"/>
          <w:bCs/>
          <w:sz w:val="30"/>
          <w:szCs w:val="30"/>
        </w:rPr>
        <w:t>万元。</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ascii="Times New Roman" w:hAnsi="Times New Roman" w:eastAsia="楷体_GB2312"/>
          <w:b/>
          <w:sz w:val="30"/>
          <w:szCs w:val="30"/>
        </w:rPr>
      </w:pPr>
      <w:r>
        <w:rPr>
          <w:rFonts w:ascii="Times New Roman" w:hAnsi="Times New Roman" w:eastAsia="楷体_GB2312"/>
          <w:b/>
          <w:sz w:val="30"/>
          <w:szCs w:val="30"/>
        </w:rPr>
        <w:t>（二）项目支出情况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eastAsia="仿宋_GB2312"/>
          <w:sz w:val="30"/>
          <w:szCs w:val="30"/>
        </w:rPr>
        <w:t>两方面：一是</w:t>
      </w:r>
      <w:r>
        <w:rPr>
          <w:rFonts w:hint="eastAsia" w:eastAsia="仿宋_GB2312"/>
          <w:sz w:val="30"/>
          <w:szCs w:val="30"/>
          <w:lang w:val="en-US" w:eastAsia="zh-CN"/>
        </w:rPr>
        <w:t>2023</w:t>
      </w:r>
      <w:r>
        <w:rPr>
          <w:rFonts w:eastAsia="仿宋_GB2312"/>
          <w:sz w:val="30"/>
          <w:szCs w:val="30"/>
        </w:rPr>
        <w:t>年度</w:t>
      </w:r>
      <w:r>
        <w:rPr>
          <w:rFonts w:hint="eastAsia" w:eastAsia="仿宋_GB2312"/>
          <w:sz w:val="30"/>
          <w:szCs w:val="30"/>
          <w:lang w:eastAsia="zh-CN"/>
        </w:rPr>
        <w:t>县</w:t>
      </w:r>
      <w:r>
        <w:rPr>
          <w:rFonts w:eastAsia="仿宋_GB2312"/>
          <w:sz w:val="30"/>
          <w:szCs w:val="30"/>
        </w:rPr>
        <w:t>级专项资金分配安排和使用管理情况，有2个及以上</w:t>
      </w:r>
      <w:r>
        <w:rPr>
          <w:rFonts w:hint="eastAsia" w:eastAsia="仿宋_GB2312"/>
          <w:sz w:val="30"/>
          <w:szCs w:val="30"/>
          <w:lang w:eastAsia="zh-CN"/>
        </w:rPr>
        <w:t>县</w:t>
      </w:r>
      <w:r>
        <w:rPr>
          <w:rFonts w:eastAsia="仿宋_GB2312"/>
          <w:sz w:val="30"/>
          <w:szCs w:val="30"/>
        </w:rPr>
        <w:t>级专项资金的要分别总结基本情况。二是除</w:t>
      </w:r>
      <w:r>
        <w:rPr>
          <w:rFonts w:hint="eastAsia" w:eastAsia="仿宋_GB2312"/>
          <w:sz w:val="30"/>
          <w:szCs w:val="30"/>
          <w:lang w:eastAsia="zh-CN"/>
        </w:rPr>
        <w:t>县</w:t>
      </w:r>
      <w:r>
        <w:rPr>
          <w:rFonts w:eastAsia="仿宋_GB2312"/>
          <w:sz w:val="30"/>
          <w:szCs w:val="30"/>
        </w:rPr>
        <w:t>级专项资金以外的其他项目支出情况。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三、政府性基金预算支出情况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四、国有资本经营预算支出情况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五、社会保险基金预算支出情况</w:t>
      </w:r>
    </w:p>
    <w:p>
      <w:pPr>
        <w:pStyle w:val="8"/>
        <w:keepNext w:val="0"/>
        <w:keepLines w:val="0"/>
        <w:pageBreakBefore w:val="0"/>
        <w:kinsoku/>
        <w:wordWrap/>
        <w:overflowPunct/>
        <w:topLinePunct w:val="0"/>
        <w:autoSpaceDE/>
        <w:autoSpaceDN/>
        <w:bidi w:val="0"/>
        <w:adjustRightInd/>
        <w:snapToGrid/>
        <w:spacing w:line="240" w:lineRule="atLeast"/>
        <w:ind w:left="0" w:firstLine="643"/>
        <w:rPr>
          <w:rFonts w:hint="default" w:ascii="仿宋" w:hAnsi="仿宋" w:eastAsia="仿宋" w:cs="仿宋"/>
          <w:b w:val="0"/>
          <w:bCs/>
          <w:sz w:val="30"/>
          <w:szCs w:val="30"/>
          <w:lang w:val="en-US" w:eastAsia="zh-CN"/>
        </w:rPr>
      </w:pPr>
      <w:r>
        <w:rPr>
          <w:rFonts w:hint="eastAsia" w:ascii="仿宋" w:hAnsi="仿宋" w:eastAsia="仿宋" w:cs="仿宋"/>
          <w:b w:val="0"/>
          <w:bCs/>
          <w:sz w:val="30"/>
          <w:szCs w:val="30"/>
          <w:lang w:val="en-US" w:eastAsia="zh-CN"/>
        </w:rPr>
        <w:t>预算执行情况：2023年预算基本支出176.56万元，其中机关事业单位基本养老保险费112.32万元，职工基本医疗保险费61.08万，其他社会保障费3.16万元。</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六、部门整体支出绩效情况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0"/>
          <w:szCs w:val="30"/>
        </w:rPr>
      </w:pPr>
      <w:r>
        <w:rPr>
          <w:rFonts w:eastAsia="仿宋_GB2312"/>
          <w:color w:val="000000"/>
          <w:sz w:val="30"/>
          <w:szCs w:val="30"/>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0"/>
          <w:szCs w:val="30"/>
        </w:rPr>
      </w:pPr>
      <w:r>
        <w:rPr>
          <w:rFonts w:hint="eastAsia" w:eastAsia="仿宋_GB2312"/>
          <w:color w:val="000000"/>
          <w:sz w:val="30"/>
          <w:szCs w:val="30"/>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00000"/>
          <w:sz w:val="30"/>
          <w:szCs w:val="30"/>
          <w:lang w:eastAsia="zh-CN"/>
        </w:rPr>
        <w:t>；</w:t>
      </w:r>
      <w:r>
        <w:rPr>
          <w:rFonts w:hint="eastAsia" w:eastAsia="仿宋_GB2312"/>
          <w:color w:val="000000"/>
          <w:sz w:val="30"/>
          <w:szCs w:val="30"/>
        </w:rPr>
        <w:t>从效率性来看，各部门对所承担的工作能够按照计划的时间把握进度，抓好质量，注重了工作的效率</w:t>
      </w:r>
      <w:r>
        <w:rPr>
          <w:rFonts w:hint="eastAsia" w:eastAsia="仿宋_GB2312"/>
          <w:color w:val="000000"/>
          <w:sz w:val="30"/>
          <w:szCs w:val="30"/>
          <w:lang w:eastAsia="zh-CN"/>
        </w:rPr>
        <w:t>；</w:t>
      </w:r>
      <w:r>
        <w:rPr>
          <w:rFonts w:hint="eastAsia" w:eastAsia="仿宋_GB2312"/>
          <w:color w:val="000000"/>
          <w:sz w:val="30"/>
          <w:szCs w:val="30"/>
        </w:rPr>
        <w:t>从有效性来看，各专项工作的分工负责部门均能够按照制度和各自的目标来抓好落实，注重了专项资金的使用效果</w:t>
      </w:r>
      <w:r>
        <w:rPr>
          <w:rFonts w:hint="eastAsia" w:eastAsia="仿宋_GB2312"/>
          <w:color w:val="000000"/>
          <w:sz w:val="30"/>
          <w:szCs w:val="30"/>
          <w:lang w:eastAsia="zh-CN"/>
        </w:rPr>
        <w:t>；</w:t>
      </w:r>
      <w:r>
        <w:rPr>
          <w:rFonts w:hint="eastAsia" w:eastAsia="仿宋_GB2312"/>
          <w:color w:val="000000"/>
          <w:sz w:val="30"/>
          <w:szCs w:val="30"/>
        </w:rPr>
        <w:t>从可持续性来看，后续的政策、相关的配套资金、必要的人员机构要继续保持，管理制度做到与时俱进，相关内容进行了及时补充完善。</w:t>
      </w:r>
    </w:p>
    <w:p>
      <w:pPr>
        <w:pStyle w:val="8"/>
        <w:keepNext w:val="0"/>
        <w:keepLines w:val="0"/>
        <w:pageBreakBefore w:val="0"/>
        <w:kinsoku/>
        <w:wordWrap/>
        <w:overflowPunct/>
        <w:topLinePunct w:val="0"/>
        <w:autoSpaceDE/>
        <w:autoSpaceDN/>
        <w:bidi w:val="0"/>
        <w:adjustRightInd/>
        <w:snapToGrid/>
        <w:spacing w:line="240" w:lineRule="atLeast"/>
        <w:ind w:left="0" w:firstLine="640"/>
        <w:rPr>
          <w:rFonts w:ascii="Times New Roman" w:hAnsi="Times New Roman" w:eastAsia="黑体"/>
          <w:sz w:val="30"/>
          <w:szCs w:val="30"/>
        </w:rPr>
      </w:pPr>
      <w:r>
        <w:rPr>
          <w:rFonts w:ascii="Times New Roman" w:hAnsi="Times New Roman" w:eastAsia="黑体"/>
          <w:sz w:val="30"/>
          <w:szCs w:val="30"/>
        </w:rPr>
        <w:t>七、存在的问题及原因分析</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sz w:val="30"/>
          <w:szCs w:val="30"/>
        </w:rPr>
      </w:pPr>
      <w:r>
        <w:rPr>
          <w:rFonts w:eastAsia="仿宋_GB2312"/>
          <w:sz w:val="30"/>
          <w:szCs w:val="30"/>
        </w:rPr>
        <w:t>主要反映各种</w:t>
      </w:r>
      <w:r>
        <w:rPr>
          <w:rFonts w:eastAsia="仿宋_GB2312"/>
          <w:color w:val="000000"/>
          <w:sz w:val="30"/>
          <w:szCs w:val="30"/>
        </w:rPr>
        <w:t>预算支出执行偏离绩效目标的情况，</w:t>
      </w:r>
      <w:r>
        <w:rPr>
          <w:rFonts w:eastAsia="仿宋_GB2312"/>
          <w:sz w:val="30"/>
          <w:szCs w:val="30"/>
        </w:rPr>
        <w:t>并分析其原因</w:t>
      </w:r>
      <w:r>
        <w:rPr>
          <w:rFonts w:hint="eastAsia" w:eastAsia="仿宋_GB2312"/>
          <w:sz w:val="30"/>
          <w:szCs w:val="30"/>
        </w:rPr>
        <w:t>。</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hint="eastAsia" w:eastAsia="仿宋_GB2312"/>
          <w:sz w:val="30"/>
          <w:szCs w:val="30"/>
        </w:rPr>
        <w:t>年初预算绩效目标不明确，绩效指标细化和量化不精准。</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八、下一</w:t>
      </w:r>
      <w:r>
        <w:rPr>
          <w:rFonts w:eastAsia="黑体"/>
          <w:b w:val="0"/>
          <w:bCs w:val="0"/>
          <w:sz w:val="30"/>
          <w:szCs w:val="30"/>
        </w:rPr>
        <w:t>步改进</w:t>
      </w:r>
      <w:r>
        <w:rPr>
          <w:rFonts w:eastAsia="黑体"/>
          <w:sz w:val="30"/>
          <w:szCs w:val="30"/>
        </w:rPr>
        <w:t>措施</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sz w:val="30"/>
          <w:szCs w:val="30"/>
        </w:rPr>
      </w:pPr>
      <w:r>
        <w:rPr>
          <w:rFonts w:hint="eastAsia" w:eastAsia="仿宋_GB2312"/>
          <w:sz w:val="30"/>
          <w:szCs w:val="30"/>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九、绩效自评结果拟应用和公开情况</w:t>
      </w:r>
    </w:p>
    <w:p>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黑体"/>
          <w:sz w:val="30"/>
          <w:szCs w:val="30"/>
        </w:rPr>
      </w:pPr>
      <w:r>
        <w:rPr>
          <w:rFonts w:eastAsia="黑体"/>
          <w:sz w:val="30"/>
          <w:szCs w:val="30"/>
        </w:rPr>
        <w:t>其他需要说明的情况</w:t>
      </w: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黑体"/>
          <w:sz w:val="30"/>
          <w:szCs w:val="30"/>
        </w:rPr>
      </w:pPr>
    </w:p>
    <w:p>
      <w:pPr>
        <w:keepNext w:val="0"/>
        <w:keepLines w:val="0"/>
        <w:pageBreakBefore w:val="0"/>
        <w:kinsoku/>
        <w:wordWrap/>
        <w:overflowPunct/>
        <w:topLinePunct w:val="0"/>
        <w:autoSpaceDE/>
        <w:autoSpaceDN/>
        <w:bidi w:val="0"/>
        <w:adjustRightInd/>
        <w:snapToGrid/>
        <w:spacing w:line="240" w:lineRule="atLeast"/>
        <w:ind w:left="0"/>
        <w:jc w:val="center"/>
        <w:rPr>
          <w:rFonts w:eastAsia="方正小标宋_GBK"/>
          <w:kern w:val="0"/>
          <w:sz w:val="36"/>
          <w:szCs w:val="36"/>
        </w:rPr>
      </w:pPr>
      <w:r>
        <w:rPr>
          <w:rFonts w:eastAsia="方正小标宋_GBK"/>
          <w:sz w:val="36"/>
          <w:szCs w:val="36"/>
        </w:rPr>
        <w:t>整体支出绩效自评</w:t>
      </w:r>
      <w:r>
        <w:rPr>
          <w:rFonts w:eastAsia="方正小标宋_GBK"/>
          <w:kern w:val="0"/>
          <w:sz w:val="36"/>
          <w:szCs w:val="36"/>
        </w:rPr>
        <w:t>基础数据表</w:t>
      </w:r>
    </w:p>
    <w:p>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spacing w:line="240" w:lineRule="atLeast"/>
        <w:ind w:left="0"/>
        <w:jc w:val="center"/>
        <w:rPr>
          <w:rFonts w:eastAsia="仿宋_GB2312"/>
          <w:kern w:val="0"/>
          <w:sz w:val="24"/>
        </w:rPr>
      </w:pPr>
      <w:r>
        <w:rPr>
          <w:rFonts w:hint="eastAsia" w:eastAsia="仿宋_GB2312"/>
          <w:kern w:val="0"/>
          <w:sz w:val="24"/>
        </w:rPr>
        <w:t xml:space="preserve">                                                       单位：万元</w:t>
      </w: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222"/>
        <w:gridCol w:w="816"/>
        <w:gridCol w:w="1001"/>
        <w:gridCol w:w="1239"/>
        <w:gridCol w:w="999"/>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财政供养人员情况</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编制数</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2023年实际在职人数</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95</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89</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93.68%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经费控制情况(万元)</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2022年决算数</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2023年预算数</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
                <w:bCs/>
                <w:kern w:val="0"/>
                <w:szCs w:val="21"/>
              </w:rPr>
            </w:pPr>
            <w:r>
              <w:rPr>
                <w:rFonts w:hint="eastAsia" w:ascii="宋体" w:hAnsi="宋体" w:eastAsia="宋体" w:cs="宋体"/>
                <w:b/>
                <w:bCs/>
                <w:i w:val="0"/>
                <w:iCs w:val="0"/>
                <w:color w:val="000000"/>
                <w:kern w:val="0"/>
                <w:sz w:val="22"/>
                <w:szCs w:val="22"/>
                <w:u w:val="none"/>
                <w:lang w:val="en-US" w:eastAsia="zh-CN" w:bidi="ar"/>
              </w:rPr>
              <w:t>2023年决算数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三公经费</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3.02</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1、公务用车购置和维护经费</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其中：公车购置</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公车运行维护</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2、出国经费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3、公务接待</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3.02</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项目支出：</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1、业务工作经费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2、运行维护经费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3、本级专项资金（一个专项一行）</w:t>
            </w:r>
          </w:p>
        </w:tc>
        <w:tc>
          <w:tcPr>
            <w:tcW w:w="2038"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w:t>
            </w: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384.725738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教育事业发展经费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304.866938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304.866938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中心校运动场改造、校舍维修等</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79.8588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79.8588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公用经费：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其中：办公经费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55.8</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水费、电费、差旅费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16.4</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会议费、培训费</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15.9</w:t>
            </w:r>
          </w:p>
        </w:tc>
        <w:tc>
          <w:tcPr>
            <w:tcW w:w="1832" w:type="dxa"/>
            <w:gridSpan w:val="2"/>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14.21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政府采购金额</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 xml:space="preserve">部门基本支出预算调整 </w:t>
            </w:r>
          </w:p>
        </w:tc>
        <w:tc>
          <w:tcPr>
            <w:tcW w:w="2038"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2240"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832" w:type="dxa"/>
            <w:gridSpan w:val="2"/>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 xml:space="preserve">楼堂馆所控制情况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（2023年完工项目）</w:t>
            </w:r>
          </w:p>
        </w:tc>
        <w:tc>
          <w:tcPr>
            <w:tcW w:w="1222"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 xml:space="preserve">批复规模 </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816"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实际规模</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w:t>
            </w:r>
          </w:p>
        </w:tc>
        <w:tc>
          <w:tcPr>
            <w:tcW w:w="1001"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规模控制率</w:t>
            </w:r>
          </w:p>
        </w:tc>
        <w:tc>
          <w:tcPr>
            <w:tcW w:w="123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预算投资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99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实际投资</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（万元）</w:t>
            </w:r>
          </w:p>
        </w:tc>
        <w:tc>
          <w:tcPr>
            <w:tcW w:w="833"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bCs/>
                <w:kern w:val="0"/>
                <w:szCs w:val="21"/>
              </w:rPr>
            </w:pPr>
            <w:r>
              <w:rPr>
                <w:rFonts w:hint="eastAsia" w:ascii="宋体" w:hAnsi="宋体" w:eastAsia="宋体" w:cs="宋体"/>
                <w:b/>
                <w:bCs/>
                <w:i w:val="0"/>
                <w:iCs w:val="0"/>
                <w:color w:val="000000"/>
                <w:kern w:val="0"/>
                <w:sz w:val="22"/>
                <w:szCs w:val="22"/>
                <w:u w:val="none"/>
                <w:lang w:val="en-US" w:eastAsia="zh-CN" w:bidi="ar"/>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3354" w:type="dxa"/>
            <w:vMerge w:val="continue"/>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222"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816"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1001" w:type="dxa"/>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c>
          <w:tcPr>
            <w:tcW w:w="123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999"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0.00</w:t>
            </w:r>
          </w:p>
        </w:tc>
        <w:tc>
          <w:tcPr>
            <w:tcW w:w="833" w:type="dxa"/>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3354"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eastAsia="仿宋_GB2312"/>
                <w:kern w:val="0"/>
                <w:szCs w:val="21"/>
              </w:rPr>
            </w:pPr>
            <w:r>
              <w:rPr>
                <w:rFonts w:hint="eastAsia" w:ascii="宋体" w:hAnsi="宋体" w:eastAsia="宋体" w:cs="宋体"/>
                <w:b/>
                <w:bCs/>
                <w:i w:val="0"/>
                <w:iCs w:val="0"/>
                <w:color w:val="000000"/>
                <w:kern w:val="0"/>
                <w:sz w:val="22"/>
                <w:szCs w:val="22"/>
                <w:u w:val="none"/>
                <w:lang w:val="en-US" w:eastAsia="zh-CN" w:bidi="ar"/>
              </w:rPr>
              <w:t>厉行节约保障措施</w:t>
            </w:r>
          </w:p>
        </w:tc>
        <w:tc>
          <w:tcPr>
            <w:tcW w:w="6110" w:type="dxa"/>
            <w:gridSpan w:val="6"/>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eastAsia="仿宋_GB2312"/>
                <w:kern w:val="0"/>
                <w:szCs w:val="21"/>
              </w:rPr>
            </w:pPr>
          </w:p>
        </w:tc>
      </w:tr>
    </w:tbl>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kern w:val="0"/>
          <w:sz w:val="22"/>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eastAsia="方正小标宋_GBK"/>
          <w:color w:val="000000"/>
          <w:kern w:val="0"/>
          <w:sz w:val="36"/>
          <w:szCs w:val="36"/>
        </w:rPr>
        <w:t>部门整体支出绩效自评表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color w:val="000000"/>
          <w:kern w:val="0"/>
          <w:szCs w:val="21"/>
        </w:rPr>
      </w:pPr>
    </w:p>
    <w:tbl>
      <w:tblPr>
        <w:tblStyle w:val="5"/>
        <w:tblW w:w="9189"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8"/>
        <w:gridCol w:w="648"/>
        <w:gridCol w:w="864"/>
        <w:gridCol w:w="1320"/>
        <w:gridCol w:w="930"/>
        <w:gridCol w:w="1029"/>
        <w:gridCol w:w="549"/>
        <w:gridCol w:w="486"/>
        <w:gridCol w:w="1191"/>
        <w:gridCol w:w="906"/>
        <w:gridCol w:w="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right"/>
        </w:trPr>
        <w:tc>
          <w:tcPr>
            <w:tcW w:w="19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预算部门名称</w:t>
            </w:r>
          </w:p>
        </w:tc>
        <w:tc>
          <w:tcPr>
            <w:tcW w:w="7209"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江永县上江圩镇中心小学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righ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Microsoft YaHei UI" w:hAnsi="Microsoft YaHei UI" w:eastAsia="Microsoft YaHei UI" w:cs="Microsoft YaHei UI"/>
                <w:i w:val="0"/>
                <w:iCs w:val="0"/>
                <w:color w:val="000000"/>
                <w:sz w:val="21"/>
                <w:szCs w:val="21"/>
                <w:u w:val="none"/>
              </w:rPr>
            </w:pPr>
            <w:r>
              <w:rPr>
                <w:rFonts w:hint="default" w:ascii="Microsoft YaHei UI" w:hAnsi="Microsoft YaHei UI" w:eastAsia="Microsoft YaHei UI" w:cs="Microsoft YaHei UI"/>
                <w:i w:val="0"/>
                <w:iCs w:val="0"/>
                <w:color w:val="000000"/>
                <w:kern w:val="0"/>
                <w:sz w:val="21"/>
                <w:szCs w:val="21"/>
                <w:u w:val="none"/>
                <w:lang w:val="en-US" w:eastAsia="zh-CN" w:bidi="ar"/>
              </w:rPr>
              <w:t>年度预算申请</w:t>
            </w:r>
            <w:r>
              <w:rPr>
                <w:rFonts w:hint="default" w:ascii="Microsoft YaHei UI" w:hAnsi="Microsoft YaHei UI" w:eastAsia="Microsoft YaHei UI" w:cs="Microsoft YaHei UI"/>
                <w:i w:val="0"/>
                <w:iCs w:val="0"/>
                <w:color w:val="000000"/>
                <w:kern w:val="0"/>
                <w:sz w:val="21"/>
                <w:szCs w:val="21"/>
                <w:u w:val="none"/>
                <w:lang w:val="en-US" w:eastAsia="zh-CN" w:bidi="ar"/>
              </w:rPr>
              <w:br w:type="textWrapping"/>
            </w:r>
            <w:r>
              <w:rPr>
                <w:rFonts w:hint="default" w:ascii="Microsoft YaHei UI" w:hAnsi="Microsoft YaHei UI" w:eastAsia="Microsoft YaHei UI" w:cs="Microsoft YaHei UI"/>
                <w:i w:val="0"/>
                <w:iCs w:val="0"/>
                <w:color w:val="000000"/>
                <w:kern w:val="0"/>
                <w:sz w:val="21"/>
                <w:szCs w:val="21"/>
                <w:u w:val="none"/>
                <w:lang w:val="en-US" w:eastAsia="zh-CN" w:bidi="ar"/>
              </w:rPr>
              <w:t>(万元)</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年初预算数(万元)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全年预算数（万元）</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全年执行数（万元）</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分值</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执行率</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43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按收入性质分：</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一般公共预算：</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1247.06</w:t>
            </w: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其中:基本支出：</w:t>
            </w: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862.33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政府性基金拨款：</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纳入专户管理的非税收入拨款：</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11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项目支出：</w:t>
            </w:r>
          </w:p>
        </w:tc>
        <w:tc>
          <w:tcPr>
            <w:tcW w:w="17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384.73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8"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Microsoft YaHei UI" w:hAnsi="Microsoft YaHei UI" w:eastAsia="Microsoft YaHei UI" w:cs="Microsoft YaHei UI"/>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其他资金</w:t>
            </w:r>
          </w:p>
        </w:tc>
        <w:tc>
          <w:tcPr>
            <w:tcW w:w="299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0.0</w:t>
            </w:r>
          </w:p>
        </w:tc>
        <w:tc>
          <w:tcPr>
            <w:tcW w:w="11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7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Times New Roman" w:hAnsi="Times New Roman" w:eastAsia="宋体" w:cs="Times New Roman"/>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jc w:val="right"/>
        </w:trPr>
        <w:tc>
          <w:tcPr>
            <w:tcW w:w="198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年度总体目标</w:t>
            </w:r>
          </w:p>
        </w:tc>
        <w:tc>
          <w:tcPr>
            <w:tcW w:w="43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预期目标</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right"/>
        </w:trPr>
        <w:tc>
          <w:tcPr>
            <w:tcW w:w="198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431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贯彻执行国家教育方针政策，深化教育改革，发展素质教育，稳步提高教育质量，巩固艺术教育特色成果，促进我县教育事业的发展。保障人员经费，提高教师队伍幸福感；管好用好预算内资金，改善和优化学校的办学条件；促进学生全面发展，把教育教学质量放在首位，办人民满意的教育。</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保障人员经费，提高教师队伍幸福感；管好用好预算内资金，改善和优化学校的办学条件；促进学生全面发展，把教育教学质量放在首位，办人民满意的教育。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righ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绩效指标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一级指标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二级指标</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年度指标值</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实际完成值</w:t>
            </w:r>
          </w:p>
        </w:tc>
        <w:tc>
          <w:tcPr>
            <w:tcW w:w="5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分值</w:t>
            </w:r>
          </w:p>
        </w:tc>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b/>
                <w:bCs/>
                <w:i w:val="0"/>
                <w:iCs w:val="0"/>
                <w:color w:val="000000"/>
                <w:sz w:val="21"/>
                <w:szCs w:val="21"/>
                <w:u w:val="none"/>
              </w:rPr>
            </w:pPr>
            <w:r>
              <w:rPr>
                <w:rFonts w:hint="default" w:ascii="仿宋_GB2312" w:hAnsi="宋体" w:eastAsia="仿宋_GB2312" w:cs="仿宋_GB2312"/>
                <w:b/>
                <w:bCs/>
                <w:i w:val="0"/>
                <w:iCs w:val="0"/>
                <w:color w:val="000000"/>
                <w:kern w:val="0"/>
                <w:sz w:val="21"/>
                <w:szCs w:val="21"/>
                <w:u w:val="none"/>
                <w:lang w:val="en-US" w:eastAsia="zh-CN" w:bidi="ar"/>
              </w:rPr>
              <w:t>得分</w:t>
            </w:r>
          </w:p>
        </w:tc>
        <w:tc>
          <w:tcPr>
            <w:tcW w:w="289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c>
          <w:tcPr>
            <w:tcW w:w="5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default" w:ascii="仿宋_GB2312" w:hAnsi="宋体" w:eastAsia="仿宋_GB2312" w:cs="仿宋_GB2312"/>
                <w:b/>
                <w:bCs/>
                <w:i w:val="0"/>
                <w:iCs w:val="0"/>
                <w:color w:val="000000"/>
                <w:sz w:val="21"/>
                <w:szCs w:val="21"/>
                <w:u w:val="none"/>
              </w:rPr>
            </w:pPr>
          </w:p>
        </w:tc>
        <w:tc>
          <w:tcPr>
            <w:tcW w:w="289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绩效指标</w:t>
            </w: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产出指标</w:t>
            </w:r>
          </w:p>
        </w:tc>
        <w:tc>
          <w:tcPr>
            <w:tcW w:w="864"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教师培训人数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学生人数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1182人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1182人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教师考核人数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绩效奖等人数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89人</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中心校运动场改造</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一个</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一个</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教师培训完成率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学生人数准确率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教师考核完成率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事业发展资金完成率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校舍维修验收合格率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完成时间</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2023年内完成</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2023年内完成</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经济效益指标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生均学校面积达标率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社会效益指标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师生比达标率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生态效益指标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学校安全事故发生次数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0次</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0次</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10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可持续影响指标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学生入学数量增长率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满意度指标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服务对象满意度指标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家长满意度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教师满意度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90%</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经济成本指标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基本支出执行数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862.33万元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862.33万元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宋体" w:hAnsi="宋体" w:eastAsia="宋体" w:cs="宋体"/>
                <w:i w:val="0"/>
                <w:iCs w:val="0"/>
                <w:color w:val="000000"/>
                <w:sz w:val="21"/>
                <w:szCs w:val="21"/>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项目支出执行数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384.73万元</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384.73万元</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社会成本指标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资金使用合规性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合规</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jc w:val="right"/>
        </w:trPr>
        <w:tc>
          <w:tcPr>
            <w:tcW w:w="4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default" w:ascii="仿宋_GB2312" w:hAnsi="宋体" w:eastAsia="仿宋_GB2312" w:cs="仿宋_GB2312"/>
                <w:i w:val="0"/>
                <w:iCs w:val="0"/>
                <w:color w:val="000000"/>
                <w:sz w:val="21"/>
                <w:szCs w:val="21"/>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生态环境成本指标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绩效指标合理性</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合理</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合理</w:t>
            </w:r>
          </w:p>
        </w:tc>
        <w:tc>
          <w:tcPr>
            <w:tcW w:w="5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default" w:ascii="仿宋_GB2312" w:hAnsi="宋体" w:eastAsia="仿宋_GB2312" w:cs="仿宋_GB2312"/>
                <w:i w:val="0"/>
                <w:iCs w:val="0"/>
                <w:color w:val="000000"/>
                <w:sz w:val="21"/>
                <w:szCs w:val="21"/>
                <w:u w:val="none"/>
              </w:rPr>
            </w:pPr>
            <w:r>
              <w:rPr>
                <w:rFonts w:hint="default" w:ascii="仿宋_GB2312" w:hAnsi="宋体" w:eastAsia="仿宋_GB2312" w:cs="仿宋_GB2312"/>
                <w:i w:val="0"/>
                <w:iCs w:val="0"/>
                <w:color w:val="000000"/>
                <w:kern w:val="0"/>
                <w:sz w:val="21"/>
                <w:szCs w:val="21"/>
                <w:u w:val="none"/>
                <w:lang w:val="en-US" w:eastAsia="zh-CN" w:bidi="ar"/>
              </w:rPr>
              <w:t>5</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宋体" w:hAnsi="宋体" w:eastAsia="宋体" w:cs="宋体"/>
                <w:i w:val="0"/>
                <w:iCs w:val="0"/>
                <w:color w:val="000000"/>
                <w:sz w:val="21"/>
                <w:szCs w:val="21"/>
                <w:u w:val="none"/>
              </w:rPr>
            </w:pP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eastAsia" w:ascii="黑体" w:hAnsi="黑体" w:eastAsia="黑体"/>
          <w:kern w:val="0"/>
          <w:sz w:val="32"/>
          <w:szCs w:val="32"/>
          <w:lang w:eastAsia="zh-CN"/>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上江圩镇中心小学</w:t>
      </w:r>
      <w:r>
        <w:rPr>
          <w:rFonts w:ascii="黑体" w:hAnsi="黑体" w:eastAsia="黑体"/>
          <w:kern w:val="0"/>
          <w:sz w:val="32"/>
          <w:szCs w:val="32"/>
        </w:rPr>
        <w:t>部门整体支出绩效评价表</w:t>
      </w:r>
    </w:p>
    <w:tbl>
      <w:tblPr>
        <w:tblStyle w:val="5"/>
        <w:tblW w:w="9248" w:type="dxa"/>
        <w:jc w:val="center"/>
        <w:tblLayout w:type="fixed"/>
        <w:tblCellMar>
          <w:top w:w="0" w:type="dxa"/>
          <w:left w:w="108" w:type="dxa"/>
          <w:bottom w:w="0" w:type="dxa"/>
          <w:right w:w="108" w:type="dxa"/>
        </w:tblCellMar>
      </w:tblPr>
      <w:tblGrid>
        <w:gridCol w:w="354"/>
        <w:gridCol w:w="365"/>
        <w:gridCol w:w="363"/>
        <w:gridCol w:w="384"/>
        <w:gridCol w:w="1044"/>
        <w:gridCol w:w="392"/>
        <w:gridCol w:w="3232"/>
        <w:gridCol w:w="2808"/>
        <w:gridCol w:w="306"/>
      </w:tblGrid>
      <w:tr>
        <w:tblPrEx>
          <w:tblCellMar>
            <w:top w:w="0" w:type="dxa"/>
            <w:left w:w="108" w:type="dxa"/>
            <w:bottom w:w="0" w:type="dxa"/>
            <w:right w:w="108" w:type="dxa"/>
          </w:tblCellMar>
        </w:tblPrEx>
        <w:trPr>
          <w:trHeight w:val="1390" w:hRule="atLeast"/>
          <w:jc w:val="center"/>
        </w:trPr>
        <w:tc>
          <w:tcPr>
            <w:tcW w:w="35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36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38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三级</w:t>
            </w:r>
          </w:p>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评价标准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指标说明</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得分</w:t>
            </w:r>
          </w:p>
        </w:tc>
      </w:tr>
      <w:tr>
        <w:tblPrEx>
          <w:tblCellMar>
            <w:top w:w="0" w:type="dxa"/>
            <w:left w:w="108" w:type="dxa"/>
            <w:bottom w:w="0" w:type="dxa"/>
            <w:right w:w="108" w:type="dxa"/>
          </w:tblCellMar>
        </w:tblPrEx>
        <w:trPr>
          <w:trHeight w:val="1814" w:hRule="atLeast"/>
          <w:jc w:val="center"/>
        </w:trPr>
        <w:tc>
          <w:tcPr>
            <w:tcW w:w="354" w:type="dxa"/>
            <w:vMerge w:val="restart"/>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投入</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预算配置</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以100%为标准。在职人员控制率≦100%，计5分；每超过一个百分点扣0.5分，扣完为止。</w:t>
            </w:r>
          </w:p>
        </w:tc>
        <w:tc>
          <w:tcPr>
            <w:tcW w:w="280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在职人员控制率=（在职人员数/编制数）×100%，在职人员数：部门（单位）实际在职人数，以市财政局确定的部门决算编制口径为准。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编制数：机构编制部门核定批复的部门（单位）的人员编制数。</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变动率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变动率≦0,计5分；</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＞0，每超过一个百分点扣0.8分，扣完为止。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变动率=[（本年度</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预算数-上年度</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预算数）/上年度</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5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60</w:t>
            </w: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预算执行</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20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100%计满分，每低于5%扣2分，扣完为止。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预算完成率=（上年结转+年初预算+本年追加预算-年末结余）/（上年结转+年初预算+本年追加预算）×100%。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2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预算控制率=0，计5分；0-10%（含），计4分；10-20%（含），计3分；20-30%（含），计2分；大于30%不得分。</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预算控制率=（本年追加预算/年初预算）×100%。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32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新建楼堂馆所面积控制率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100%以下（含）计满分，每超出5%扣2分，扣完为止。没有楼堂馆所项目的部门按满分计算。</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楼堂馆所面积控制率=实际建设面积/批准建设面积×100%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FF0000"/>
                <w:kern w:val="0"/>
                <w:sz w:val="21"/>
                <w:szCs w:val="21"/>
              </w:rPr>
              <w:t>　</w:t>
            </w:r>
            <w:r>
              <w:rPr>
                <w:rFonts w:hint="eastAsia" w:ascii="仿宋" w:hAnsi="仿宋" w:eastAsia="仿宋" w:cs="仿宋"/>
                <w:color w:val="000000"/>
                <w:kern w:val="0"/>
                <w:sz w:val="21"/>
                <w:szCs w:val="21"/>
              </w:rPr>
              <w:t>5</w:t>
            </w:r>
          </w:p>
        </w:tc>
      </w:tr>
      <w:tr>
        <w:tblPrEx>
          <w:tblCellMar>
            <w:top w:w="0" w:type="dxa"/>
            <w:left w:w="108" w:type="dxa"/>
            <w:bottom w:w="0" w:type="dxa"/>
            <w:right w:w="108" w:type="dxa"/>
          </w:tblCellMar>
        </w:tblPrEx>
        <w:trPr>
          <w:trHeight w:val="154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新建楼堂馆所投资概算控制率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楼堂馆所投资预算控制率=实际投资金额/批准投资金额×100% 。</w:t>
            </w:r>
            <w:r>
              <w:rPr>
                <w:rFonts w:hint="eastAsia" w:ascii="仿宋" w:hAnsi="仿宋" w:eastAsia="仿宋" w:cs="仿宋"/>
                <w:kern w:val="0"/>
                <w:sz w:val="21"/>
                <w:szCs w:val="21"/>
              </w:rPr>
              <w:br w:type="textWrapping"/>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trHeight w:val="1562"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40</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公用经费控制率=（实际支出公用经费总额/预算安排公用经费总额）×100%。</w:t>
            </w:r>
            <w:r>
              <w:rPr>
                <w:rFonts w:hint="eastAsia" w:ascii="仿宋" w:hAnsi="仿宋" w:eastAsia="仿宋" w:cs="仿宋"/>
                <w:kern w:val="0"/>
                <w:sz w:val="21"/>
                <w:szCs w:val="21"/>
              </w:rPr>
              <w:br w:type="textWrapping"/>
            </w:r>
            <w:r>
              <w:rPr>
                <w:rFonts w:hint="eastAsia" w:ascii="仿宋" w:hAnsi="仿宋" w:eastAsia="仿宋" w:cs="仿宋"/>
                <w:kern w:val="0"/>
                <w:sz w:val="21"/>
                <w:szCs w:val="21"/>
              </w:rPr>
              <w:t>公用经费支出是指部门基本支出中的一般商品和服务支出。</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8</w:t>
            </w:r>
          </w:p>
        </w:tc>
      </w:tr>
      <w:tr>
        <w:tblPrEx>
          <w:tblCellMar>
            <w:top w:w="0" w:type="dxa"/>
            <w:left w:w="108" w:type="dxa"/>
            <w:bottom w:w="0" w:type="dxa"/>
            <w:right w:w="108" w:type="dxa"/>
          </w:tblCellMar>
        </w:tblPrEx>
        <w:trPr>
          <w:trHeight w:val="1073"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控制率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7</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100%以下（含）计满分，每超出1%扣1分，扣完为止。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控制率-（</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实际支出数/</w:t>
            </w:r>
            <w:r>
              <w:rPr>
                <w:rFonts w:hint="eastAsia" w:ascii="仿宋" w:hAnsi="仿宋" w:eastAsia="仿宋" w:cs="仿宋"/>
                <w:kern w:val="0"/>
                <w:sz w:val="21"/>
                <w:szCs w:val="21"/>
                <w:lang w:eastAsia="zh-CN"/>
              </w:rPr>
              <w:t>“三公”经费</w:t>
            </w:r>
            <w:r>
              <w:rPr>
                <w:rFonts w:hint="eastAsia" w:ascii="仿宋" w:hAnsi="仿宋" w:eastAsia="仿宋" w:cs="仿宋"/>
                <w:kern w:val="0"/>
                <w:sz w:val="21"/>
                <w:szCs w:val="21"/>
              </w:rPr>
              <w:t>预算安排数）×100%。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lang w:eastAsia="zh-CN"/>
              </w:rPr>
            </w:pPr>
            <w:r>
              <w:rPr>
                <w:rFonts w:hint="eastAsia" w:ascii="仿宋" w:hAnsi="仿宋" w:eastAsia="仿宋" w:cs="仿宋"/>
                <w:kern w:val="0"/>
                <w:sz w:val="21"/>
                <w:szCs w:val="21"/>
                <w:lang w:val="en-US" w:eastAsia="zh-CN"/>
              </w:rPr>
              <w:t>7</w:t>
            </w:r>
          </w:p>
        </w:tc>
      </w:tr>
      <w:tr>
        <w:tblPrEx>
          <w:tblCellMar>
            <w:top w:w="0" w:type="dxa"/>
            <w:left w:w="108" w:type="dxa"/>
            <w:bottom w:w="0" w:type="dxa"/>
            <w:right w:w="108" w:type="dxa"/>
          </w:tblCellMar>
        </w:tblPrEx>
        <w:trPr>
          <w:trHeight w:val="91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100%计满分，每超过（降低）5%扣2分。扣完为止。</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政府采购执行率=（实际政府采购金额/政府采购预算数）×100%</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过                                                                                                                                       程</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预算管理</w:t>
            </w: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管理制度健全性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①有内部财务管理制度、会计核算制度等管理制度，2分；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②有本部门厉行节约制度,2分；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③相关管理制度合法、合规、完整，2分；④相关管理制度得到有效执行，2分。</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1901"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资金使用合规性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604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以上情况每出现一例不符合要求的扣1分，扣完为止。</w:t>
            </w:r>
          </w:p>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6</w:t>
            </w: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预决算信息公开性</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5</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预决算信息是指与部门预算、执行、决算、监督、绩效等管理相关的信息。</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5</w:t>
            </w:r>
          </w:p>
        </w:tc>
      </w:tr>
      <w:tr>
        <w:tblPrEx>
          <w:tblCellMar>
            <w:top w:w="0" w:type="dxa"/>
            <w:left w:w="108" w:type="dxa"/>
            <w:bottom w:w="0" w:type="dxa"/>
            <w:right w:w="108" w:type="dxa"/>
          </w:tblCellMar>
        </w:tblPrEx>
        <w:trPr>
          <w:jc w:val="center"/>
        </w:trPr>
        <w:tc>
          <w:tcPr>
            <w:tcW w:w="354"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产出及效率</w:t>
            </w:r>
          </w:p>
        </w:tc>
        <w:tc>
          <w:tcPr>
            <w:tcW w:w="365"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30</w:t>
            </w:r>
          </w:p>
        </w:tc>
        <w:tc>
          <w:tcPr>
            <w:tcW w:w="36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职责履行</w:t>
            </w:r>
          </w:p>
        </w:tc>
        <w:tc>
          <w:tcPr>
            <w:tcW w:w="38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重点工作实际完成率</w:t>
            </w:r>
          </w:p>
        </w:tc>
        <w:tc>
          <w:tcPr>
            <w:tcW w:w="39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8</w:t>
            </w:r>
          </w:p>
        </w:tc>
        <w:tc>
          <w:tcPr>
            <w:tcW w:w="323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根据绩效办2021年对各部门为民办实事和部门重点工程与重点工作考核分数折算。</w:t>
            </w:r>
            <w:r>
              <w:rPr>
                <w:rFonts w:hint="eastAsia" w:ascii="仿宋" w:hAnsi="仿宋" w:eastAsia="仿宋" w:cs="仿宋"/>
                <w:kern w:val="0"/>
                <w:sz w:val="21"/>
                <w:szCs w:val="21"/>
              </w:rPr>
              <w:br w:type="textWrapping"/>
            </w:r>
            <w:r>
              <w:rPr>
                <w:rFonts w:hint="eastAsia" w:ascii="仿宋" w:hAnsi="仿宋" w:eastAsia="仿宋" w:cs="仿宋"/>
                <w:kern w:val="0"/>
                <w:sz w:val="21"/>
                <w:szCs w:val="21"/>
              </w:rPr>
              <w:t>该项得分=（绩效办对应部分考核得分/350）*8</w:t>
            </w:r>
          </w:p>
        </w:tc>
        <w:tc>
          <w:tcPr>
            <w:tcW w:w="280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w:t>
            </w:r>
          </w:p>
        </w:tc>
        <w:tc>
          <w:tcPr>
            <w:tcW w:w="30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8</w:t>
            </w:r>
          </w:p>
        </w:tc>
      </w:tr>
      <w:tr>
        <w:tblPrEx>
          <w:tblCellMar>
            <w:top w:w="0" w:type="dxa"/>
            <w:left w:w="108" w:type="dxa"/>
            <w:bottom w:w="0" w:type="dxa"/>
            <w:right w:w="108" w:type="dxa"/>
          </w:tblCellMar>
        </w:tblPrEx>
        <w:trPr>
          <w:trHeight w:val="445"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履职 效益</w:t>
            </w: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1044"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经济效益</w:t>
            </w:r>
          </w:p>
        </w:tc>
        <w:tc>
          <w:tcPr>
            <w:tcW w:w="392"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6040" w:type="dxa"/>
            <w:gridSpan w:val="2"/>
            <w:vMerge w:val="restart"/>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此两项指标为设置部门整体支出绩效评价指标时必须考虑的共性要素，可根据部门实际情况有选择的进行设置，并将其细化为相应的个性化指标。</w:t>
            </w:r>
          </w:p>
        </w:tc>
        <w:tc>
          <w:tcPr>
            <w:tcW w:w="306" w:type="dxa"/>
            <w:vMerge w:val="restart"/>
            <w:tcBorders>
              <w:top w:val="nil"/>
              <w:left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10</w:t>
            </w:r>
          </w:p>
        </w:tc>
      </w:tr>
      <w:tr>
        <w:tblPrEx>
          <w:tblCellMar>
            <w:top w:w="0" w:type="dxa"/>
            <w:left w:w="108" w:type="dxa"/>
            <w:bottom w:w="0" w:type="dxa"/>
            <w:right w:w="108" w:type="dxa"/>
          </w:tblCellMar>
        </w:tblPrEx>
        <w:trPr>
          <w:trHeight w:val="808" w:hRule="atLeast"/>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社会效益</w:t>
            </w:r>
          </w:p>
        </w:tc>
        <w:tc>
          <w:tcPr>
            <w:tcW w:w="392"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6040" w:type="dxa"/>
            <w:gridSpan w:val="2"/>
            <w:vMerge w:val="continue"/>
            <w:tcBorders>
              <w:top w:val="nil"/>
              <w:left w:val="nil"/>
              <w:bottom w:val="nil"/>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06" w:type="dxa"/>
            <w:vMerge w:val="continue"/>
            <w:tcBorders>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r>
      <w:tr>
        <w:tblPrEx>
          <w:tblCellMar>
            <w:top w:w="0" w:type="dxa"/>
            <w:left w:w="108" w:type="dxa"/>
            <w:bottom w:w="0" w:type="dxa"/>
            <w:right w:w="108" w:type="dxa"/>
          </w:tblCellMar>
        </w:tblPrEx>
        <w:trPr>
          <w:jc w:val="center"/>
        </w:trPr>
        <w:tc>
          <w:tcPr>
            <w:tcW w:w="354"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12</w:t>
            </w:r>
          </w:p>
        </w:tc>
        <w:tc>
          <w:tcPr>
            <w:tcW w:w="104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lang w:eastAsia="zh-CN"/>
              </w:rPr>
              <w:t>事业</w:t>
            </w:r>
            <w:r>
              <w:rPr>
                <w:rFonts w:hint="eastAsia" w:ascii="仿宋" w:hAnsi="仿宋" w:eastAsia="仿宋" w:cs="仿宋"/>
                <w:kern w:val="0"/>
                <w:sz w:val="21"/>
                <w:szCs w:val="21"/>
              </w:rPr>
              <w:t>效能</w:t>
            </w:r>
          </w:p>
        </w:tc>
        <w:tc>
          <w:tcPr>
            <w:tcW w:w="39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促进部门改进文风会风，加强经费及资产管理，推动网上办事，提高行政效率，降低行政成本效果较好的计6分；一般3分；无效果或者效果不明显0分。</w:t>
            </w:r>
          </w:p>
        </w:tc>
        <w:tc>
          <w:tcPr>
            <w:tcW w:w="280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根据部门自评材料评定。</w:t>
            </w:r>
          </w:p>
        </w:tc>
        <w:tc>
          <w:tcPr>
            <w:tcW w:w="30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r>
      <w:tr>
        <w:tblPrEx>
          <w:tblCellMar>
            <w:top w:w="0" w:type="dxa"/>
            <w:left w:w="108" w:type="dxa"/>
            <w:bottom w:w="0" w:type="dxa"/>
            <w:right w:w="108" w:type="dxa"/>
          </w:tblCellMar>
        </w:tblPrEx>
        <w:trPr>
          <w:trHeight w:val="1241" w:hRule="atLeast"/>
          <w:jc w:val="center"/>
        </w:trPr>
        <w:tc>
          <w:tcPr>
            <w:tcW w:w="354"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5"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6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384"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p>
        </w:tc>
        <w:tc>
          <w:tcPr>
            <w:tcW w:w="1044"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社会公众或服务对象满意度</w:t>
            </w:r>
          </w:p>
        </w:tc>
        <w:tc>
          <w:tcPr>
            <w:tcW w:w="39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textAlignment w:val="auto"/>
              <w:rPr>
                <w:rFonts w:hint="eastAsia" w:ascii="仿宋" w:hAnsi="仿宋" w:eastAsia="仿宋" w:cs="仿宋"/>
                <w:kern w:val="0"/>
                <w:sz w:val="21"/>
                <w:szCs w:val="21"/>
              </w:rPr>
            </w:pPr>
            <w:r>
              <w:rPr>
                <w:rFonts w:hint="eastAsia" w:ascii="仿宋" w:hAnsi="仿宋" w:eastAsia="仿宋" w:cs="仿宋"/>
                <w:kern w:val="0"/>
                <w:sz w:val="21"/>
                <w:szCs w:val="21"/>
              </w:rPr>
              <w:t>6</w:t>
            </w:r>
          </w:p>
        </w:tc>
        <w:tc>
          <w:tcPr>
            <w:tcW w:w="323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90%（含）以上计6分；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80%（含）-90%，计4分；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70%（含）-80%，计2分；</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低于70%计0分。</w:t>
            </w:r>
          </w:p>
        </w:tc>
        <w:tc>
          <w:tcPr>
            <w:tcW w:w="2808"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社会公众或服务对象是指部门（单位）履行职责而影响到的部门、群体或个人，一般采取社会调查的方式。</w:t>
            </w:r>
          </w:p>
        </w:tc>
        <w:tc>
          <w:tcPr>
            <w:tcW w:w="306"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6　</w:t>
            </w:r>
          </w:p>
        </w:tc>
      </w:tr>
      <w:tr>
        <w:tblPrEx>
          <w:tblCellMar>
            <w:top w:w="0" w:type="dxa"/>
            <w:left w:w="108" w:type="dxa"/>
            <w:bottom w:w="0" w:type="dxa"/>
            <w:right w:w="108" w:type="dxa"/>
          </w:tblCellMar>
        </w:tblPrEx>
        <w:trPr>
          <w:trHeight w:val="90" w:hRule="atLeast"/>
          <w:jc w:val="center"/>
        </w:trPr>
        <w:tc>
          <w:tcPr>
            <w:tcW w:w="719"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0" w:lineRule="atLeast"/>
              <w:ind w:left="0"/>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合计</w:t>
            </w:r>
          </w:p>
        </w:tc>
        <w:tc>
          <w:tcPr>
            <w:tcW w:w="8529" w:type="dxa"/>
            <w:gridSpan w:val="7"/>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0" w:lineRule="atLeast"/>
              <w:ind w:left="0"/>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100分</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8"/>
          <w:szCs w:val="48"/>
        </w:rPr>
      </w:pPr>
      <w:r>
        <w:rPr>
          <w:rFonts w:hint="eastAsia" w:eastAsia="方正小标宋_GBK"/>
          <w:sz w:val="48"/>
          <w:szCs w:val="48"/>
          <w:lang w:val="en-US" w:eastAsia="zh-CN"/>
        </w:rPr>
        <w:t>2023</w:t>
      </w:r>
      <w:r>
        <w:rPr>
          <w:rFonts w:eastAsia="方正小标宋_GBK"/>
          <w:sz w:val="48"/>
          <w:szCs w:val="48"/>
        </w:rPr>
        <w:t>年度</w:t>
      </w:r>
      <w:r>
        <w:rPr>
          <w:rFonts w:hint="eastAsia" w:eastAsia="方正小标宋_GBK"/>
          <w:sz w:val="48"/>
          <w:szCs w:val="48"/>
          <w:lang w:eastAsia="zh-CN"/>
        </w:rPr>
        <w:t>上江圩镇中心小学</w:t>
      </w:r>
      <w:r>
        <w:rPr>
          <w:rFonts w:hint="eastAsia" w:eastAsia="方正小标宋_GBK"/>
          <w:sz w:val="48"/>
          <w:szCs w:val="48"/>
        </w:rPr>
        <w:t>专项资金绩效自评报告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按照</w:t>
      </w:r>
      <w:r>
        <w:rPr>
          <w:rFonts w:hint="eastAsia" w:eastAsia="仿宋" w:asciiTheme="minorAscii" w:hAnsiTheme="minorAscii"/>
          <w:sz w:val="30"/>
          <w:szCs w:val="30"/>
          <w:lang w:eastAsia="zh-CN"/>
        </w:rPr>
        <w:t>上级</w:t>
      </w:r>
      <w:r>
        <w:rPr>
          <w:rFonts w:hint="default" w:eastAsia="仿宋" w:asciiTheme="minorAscii" w:hAnsiTheme="minorAscii"/>
          <w:sz w:val="30"/>
          <w:szCs w:val="30"/>
        </w:rPr>
        <w:t>文件的要求，我校对20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w:t>
      </w:r>
      <w:r>
        <w:rPr>
          <w:rFonts w:hint="eastAsia" w:eastAsia="仿宋" w:asciiTheme="minorAscii" w:hAnsiTheme="minorAscii"/>
          <w:sz w:val="30"/>
          <w:szCs w:val="30"/>
          <w:lang w:eastAsia="zh-CN"/>
        </w:rPr>
        <w:t>县财政</w:t>
      </w:r>
      <w:r>
        <w:rPr>
          <w:rFonts w:hint="default" w:eastAsia="仿宋" w:asciiTheme="minorAscii" w:hAnsiTheme="minorAscii"/>
          <w:sz w:val="30"/>
          <w:szCs w:val="30"/>
        </w:rPr>
        <w:t>部门下拨的财政扶持学校专项资金的使用情况和达到的效果进行了认真的自查，现将自查情况报告如下：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一、基本情况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为了保障学校事业发展的需要，20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年财政安排专项经费</w:t>
      </w:r>
      <w:r>
        <w:rPr>
          <w:rFonts w:hint="eastAsia" w:eastAsia="仿宋" w:asciiTheme="minorAscii" w:hAnsiTheme="minorAscii"/>
          <w:sz w:val="30"/>
          <w:szCs w:val="30"/>
          <w:lang w:eastAsia="zh-CN"/>
        </w:rPr>
        <w:t>支出</w:t>
      </w:r>
      <w:r>
        <w:rPr>
          <w:rFonts w:hint="eastAsia" w:eastAsia="仿宋" w:asciiTheme="minorAscii" w:hAnsiTheme="minorAscii"/>
          <w:sz w:val="30"/>
          <w:szCs w:val="30"/>
          <w:lang w:val="en-US" w:eastAsia="zh-CN"/>
        </w:rPr>
        <w:t>384.725738</w:t>
      </w:r>
      <w:r>
        <w:rPr>
          <w:rFonts w:hint="default" w:eastAsia="仿宋" w:asciiTheme="minorAscii" w:hAnsiTheme="minorAscii"/>
          <w:sz w:val="30"/>
          <w:szCs w:val="30"/>
        </w:rPr>
        <w:t>万元，具体项目情况如下：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（一）教育事业发展经费专项资金：304.866938万元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1、基本工资专项经费9.3689万元，学校实际支出9.3689万元。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2、津贴补贴专项经费85.255万元，用于缓改农村学校人才的流动过大，提高农村基层教师待遇，学校实际支出85.255万元。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3、奖金专项经费122.8354万元，学校实际支出122.8354万元。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4、绩效工资专项经费34.6142万元，学校实际支出34.6142万元。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5、其他社会保障缴费专项经费0.47702万元，学校实际支出0.47702万元。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6、办公费专项经费5.539018万元，用于保障学校正常运转，学校实际支出5.539018万元。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7、劳务费专项经费25.3214万元，学校实际支出25.3214万元。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8、抚恤金专项经费3.45万元，学校实际支出3.45万元。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9、生活补助专项经费17.556万元，学校实际支出17.556万元。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10、助学金专项经费0.45万元，用于资助困难学生顺利完成学业，学校实际支出0.45万元。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（二）中心校运动场改造、校舍大型修缮等专项资金79.8588万元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11、中心校运动场改造专项资金40万元，用于上江圩中心校运动场改造及附属设施建设，改善学校办学条件，学校实际支出40万元。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12、校舍维修改造专项资金33.7488万元，用于学校校舍大型维修（维护）等，改善学校办学条件，学校实际支出33.7488万元。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13、办公设备购置专项资金6.11万元，学校实际支出6.11万元。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sz w:val="30"/>
          <w:szCs w:val="30"/>
        </w:rPr>
      </w:pPr>
      <w:r>
        <w:rPr>
          <w:rFonts w:hint="default" w:ascii="黑体" w:hAnsi="黑体" w:eastAsia="黑体" w:cs="黑体"/>
          <w:sz w:val="30"/>
          <w:szCs w:val="30"/>
        </w:rPr>
        <w:t>二、经费全部拔付到账。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专项资金综合使用情况及绩效评估主要体现在以下几方面：</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 xml:space="preserve">1、项目经费按照项目实施进度安排，按时足额到位。未出现截留、挤占、挪用等现象。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2、经费到达后，我校严格按项目计划和规定用途专款专用；建立健全会计核算制度，专项核算财政扶持学校发展专项资金的`使用情况。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3、我校定期向主管部门汇报项目进展与专项资金核算使用情况。项目按照序时进度进行，未出现项目滞后情况。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4、项目经费主要用于</w:t>
      </w:r>
      <w:r>
        <w:rPr>
          <w:rFonts w:hint="eastAsia" w:eastAsia="仿宋" w:asciiTheme="minorAscii" w:hAnsiTheme="minorAscii"/>
          <w:sz w:val="30"/>
          <w:szCs w:val="30"/>
          <w:lang w:eastAsia="zh-CN"/>
        </w:rPr>
        <w:t>改善学校办学条件以及学校正常运转</w:t>
      </w:r>
      <w:r>
        <w:rPr>
          <w:rFonts w:hint="default" w:eastAsia="仿宋" w:asciiTheme="minorAscii" w:hAnsiTheme="minorAscii"/>
          <w:sz w:val="30"/>
          <w:szCs w:val="30"/>
        </w:rPr>
        <w:t>等。</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5、所有申报项目的实施都已按照预定目标快速、高效组织实施并取得较好的效益。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default" w:ascii="黑体" w:hAnsi="黑体" w:eastAsia="黑体" w:cs="黑体"/>
          <w:sz w:val="30"/>
          <w:szCs w:val="30"/>
        </w:rPr>
        <w:t>三、</w:t>
      </w:r>
      <w:r>
        <w:rPr>
          <w:rFonts w:hint="eastAsia" w:ascii="黑体" w:hAnsi="黑体" w:eastAsia="黑体" w:cs="黑体"/>
          <w:sz w:val="30"/>
          <w:szCs w:val="30"/>
        </w:rPr>
        <w:t>意见和建议</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（一）坚持教育优先发展，继续加大教育投入。</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（二）强化监督管理，提高经费使用效益。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一是经常开展学校的专项督查，提高经费使用效益。二是建立健全绩效评价考核机制。逐步建立起以强化资金使用效益为核心的教育经费投入和使用绩效评价体系，对学校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（三）加强财会队伍建设，提高财务管理能力。</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一是增加学校财会人员编制，逐步消除过去会计人员无证上岗和有证不专的现象；二是加大财务人员的培训力度，提高业务水平，进一步规范学校资金的管理和使用操作程序，最大限度地发挥教育资金使用效率。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sz w:val="44"/>
          <w:szCs w:val="44"/>
          <w:lang w:eastAsia="zh-CN"/>
        </w:rPr>
      </w:pPr>
      <w:r>
        <w:rPr>
          <w:rFonts w:hint="eastAsia"/>
          <w:b/>
          <w:bCs/>
          <w:sz w:val="44"/>
          <w:szCs w:val="44"/>
        </w:rPr>
        <w:t>学校专项资金</w:t>
      </w:r>
      <w:r>
        <w:rPr>
          <w:rFonts w:hint="eastAsia"/>
          <w:b/>
          <w:bCs/>
          <w:sz w:val="44"/>
          <w:szCs w:val="44"/>
          <w:lang w:eastAsia="zh-CN"/>
        </w:rPr>
        <w:t>（教育事业发展经费）</w:t>
      </w: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eastAsia="方正小标宋_GBK"/>
          <w:sz w:val="44"/>
          <w:szCs w:val="44"/>
          <w:lang w:val="en-US" w:eastAsia="zh-CN"/>
        </w:rPr>
      </w:pPr>
      <w:r>
        <w:rPr>
          <w:rFonts w:hint="eastAsia"/>
          <w:b/>
          <w:bCs/>
          <w:sz w:val="44"/>
          <w:szCs w:val="44"/>
        </w:rPr>
        <w:t>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按照</w:t>
      </w:r>
      <w:r>
        <w:rPr>
          <w:rFonts w:hint="eastAsia" w:eastAsia="仿宋" w:asciiTheme="minorAscii" w:hAnsiTheme="minorAscii"/>
          <w:sz w:val="30"/>
          <w:szCs w:val="30"/>
          <w:lang w:eastAsia="zh-CN"/>
        </w:rPr>
        <w:t>上级</w:t>
      </w:r>
      <w:r>
        <w:rPr>
          <w:rFonts w:hint="default" w:eastAsia="仿宋" w:asciiTheme="minorAscii" w:hAnsiTheme="minorAscii"/>
          <w:sz w:val="30"/>
          <w:szCs w:val="30"/>
        </w:rPr>
        <w:t>文件的要求，我校对20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w:t>
      </w:r>
      <w:r>
        <w:rPr>
          <w:rFonts w:hint="eastAsia" w:eastAsia="仿宋" w:asciiTheme="minorAscii" w:hAnsiTheme="minorAscii"/>
          <w:sz w:val="30"/>
          <w:szCs w:val="30"/>
          <w:lang w:eastAsia="zh-CN"/>
        </w:rPr>
        <w:t>县财政</w:t>
      </w:r>
      <w:r>
        <w:rPr>
          <w:rFonts w:hint="default" w:eastAsia="仿宋" w:asciiTheme="minorAscii" w:hAnsiTheme="minorAscii"/>
          <w:sz w:val="30"/>
          <w:szCs w:val="30"/>
        </w:rPr>
        <w:t>部门下拨的财政扶持学校专项资金的使用情况和达到的效果进行了认真的自查，现将自查情况报告如下：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eastAsia" w:ascii="黑体" w:hAnsi="黑体" w:eastAsia="黑体" w:cs="黑体"/>
          <w:sz w:val="30"/>
          <w:szCs w:val="30"/>
        </w:rPr>
        <w:t>一、基本情况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为了保障学校</w:t>
      </w:r>
      <w:r>
        <w:rPr>
          <w:rFonts w:hint="eastAsia" w:eastAsia="仿宋" w:asciiTheme="minorAscii" w:hAnsiTheme="minorAscii"/>
          <w:sz w:val="30"/>
          <w:szCs w:val="30"/>
          <w:lang w:eastAsia="zh-CN"/>
        </w:rPr>
        <w:t>教育</w:t>
      </w:r>
      <w:r>
        <w:rPr>
          <w:rFonts w:hint="default" w:eastAsia="仿宋" w:asciiTheme="minorAscii" w:hAnsiTheme="minorAscii"/>
          <w:sz w:val="30"/>
          <w:szCs w:val="30"/>
        </w:rPr>
        <w:t>事业发展的需要，20</w:t>
      </w:r>
      <w:r>
        <w:rPr>
          <w:rFonts w:hint="eastAsia" w:eastAsia="仿宋" w:asciiTheme="minorAscii" w:hAnsiTheme="minorAscii"/>
          <w:sz w:val="30"/>
          <w:szCs w:val="30"/>
          <w:lang w:val="en-US" w:eastAsia="zh-CN"/>
        </w:rPr>
        <w:t>23</w:t>
      </w:r>
      <w:r>
        <w:rPr>
          <w:rFonts w:hint="default" w:eastAsia="仿宋" w:asciiTheme="minorAscii" w:hAnsiTheme="minorAscii"/>
          <w:sz w:val="30"/>
          <w:szCs w:val="30"/>
        </w:rPr>
        <w:t>年财政安排</w:t>
      </w:r>
      <w:r>
        <w:rPr>
          <w:rFonts w:hint="eastAsia" w:eastAsia="仿宋" w:asciiTheme="minorAscii" w:hAnsiTheme="minorAscii"/>
          <w:sz w:val="30"/>
          <w:szCs w:val="30"/>
          <w:lang w:eastAsia="zh-CN"/>
        </w:rPr>
        <w:t>教育事业发展经费</w:t>
      </w:r>
      <w:r>
        <w:rPr>
          <w:rFonts w:hint="default" w:eastAsia="仿宋" w:asciiTheme="minorAscii" w:hAnsiTheme="minorAscii"/>
          <w:sz w:val="30"/>
          <w:szCs w:val="30"/>
        </w:rPr>
        <w:t>专项</w:t>
      </w:r>
      <w:r>
        <w:rPr>
          <w:rFonts w:hint="eastAsia" w:eastAsia="仿宋" w:asciiTheme="minorAscii" w:hAnsiTheme="minorAscii"/>
          <w:sz w:val="30"/>
          <w:szCs w:val="30"/>
          <w:lang w:eastAsia="zh-CN"/>
        </w:rPr>
        <w:t>资金支出</w:t>
      </w:r>
      <w:r>
        <w:rPr>
          <w:rFonts w:hint="eastAsia" w:eastAsia="仿宋" w:asciiTheme="minorAscii" w:hAnsiTheme="minorAscii"/>
          <w:sz w:val="30"/>
          <w:szCs w:val="30"/>
          <w:lang w:val="en-US" w:eastAsia="zh-CN"/>
        </w:rPr>
        <w:t>304.866938</w:t>
      </w:r>
      <w:r>
        <w:rPr>
          <w:rFonts w:hint="default" w:eastAsia="仿宋" w:asciiTheme="minorAscii" w:hAnsiTheme="minorAscii"/>
          <w:sz w:val="30"/>
          <w:szCs w:val="30"/>
        </w:rPr>
        <w:t>万元，具体项目情况如下：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1、基本工资专项经费9.3689万元，学校实际支出9.3689万元。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2、津贴补贴专项经费85.255万元，用于缓改农村学校人才的流动过大，提高农村基层教师待遇，学校实际支出85.255万元。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3、奖金专项经费122.8354万元，学校实际支出122.8354万元。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4、绩效工资专项经费34.6142万元，学校实际支出34.6142万元。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5、其他社会保障缴费专项经费0.47702万元，学校实际支出0.47702万元。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6、办公费专项经费5.539018万元，用于保障学校正常运转，学校实际支出5.539018万元。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lang w:val="en-US" w:eastAsia="zh-CN"/>
        </w:rPr>
      </w:pPr>
      <w:r>
        <w:rPr>
          <w:rFonts w:hint="eastAsia" w:eastAsia="仿宋" w:asciiTheme="minorAscii" w:hAnsiTheme="minorAscii"/>
          <w:sz w:val="30"/>
          <w:szCs w:val="30"/>
          <w:lang w:val="en-US" w:eastAsia="zh-CN"/>
        </w:rPr>
        <w:t>7、劳务费专项经费25.3214万元，学校实际支出25.3214万元。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8、抚恤金专项经费3.45万元，学校实际支出3.45万元。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9、生活补助专项经费17.556万元，学校实际支出17.556万元。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lang w:val="en-US" w:eastAsia="zh-CN"/>
        </w:rPr>
      </w:pPr>
      <w:r>
        <w:rPr>
          <w:rFonts w:hint="eastAsia" w:eastAsia="仿宋" w:asciiTheme="minorAscii" w:hAnsiTheme="minorAscii"/>
          <w:sz w:val="30"/>
          <w:szCs w:val="30"/>
          <w:lang w:val="en-US" w:eastAsia="zh-CN"/>
        </w:rPr>
        <w:t>10、助学金专项经费0.45万元，用于资助困难学生顺利完成学业，学校实际支出0.45万元。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ascii="黑体" w:hAnsi="黑体" w:eastAsia="黑体" w:cs="黑体"/>
          <w:sz w:val="30"/>
          <w:szCs w:val="30"/>
        </w:rPr>
      </w:pPr>
      <w:r>
        <w:rPr>
          <w:rFonts w:hint="default" w:ascii="黑体" w:hAnsi="黑体" w:eastAsia="黑体" w:cs="黑体"/>
          <w:sz w:val="30"/>
          <w:szCs w:val="30"/>
        </w:rPr>
        <w:t>二、经费全部拔付到账。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专项资金综合使用情况及绩效评估主要体现在以下几方面：</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 xml:space="preserve">1、项目经费按照项目实施进度安排，按时足额到位。未出现截留、挤占、挪用等现象。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2、经费到达后，我校严格按项目计划和规定用途专款专用；建立健全会计核算制度，专项核算财政扶持学校发展专项资金的`使用情况。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3、我校定期向主管部门汇报项目进展与专项资金核算使用情况。项目按照序时进度进行，未出现项目滞后情况。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4、</w:t>
      </w:r>
      <w:r>
        <w:rPr>
          <w:rFonts w:hint="eastAsia" w:eastAsia="仿宋" w:asciiTheme="minorAscii" w:hAnsiTheme="minorAscii"/>
          <w:sz w:val="30"/>
          <w:szCs w:val="30"/>
          <w:lang w:eastAsia="zh-CN"/>
        </w:rPr>
        <w:t>项目资金主要用于</w:t>
      </w:r>
      <w:r>
        <w:rPr>
          <w:rFonts w:hint="eastAsia" w:eastAsia="仿宋" w:asciiTheme="minorAscii" w:hAnsiTheme="minorAscii"/>
          <w:sz w:val="30"/>
          <w:szCs w:val="30"/>
        </w:rPr>
        <w:t>教育教学发展</w:t>
      </w:r>
      <w:r>
        <w:rPr>
          <w:rFonts w:hint="eastAsia" w:eastAsia="仿宋" w:asciiTheme="minorAscii" w:hAnsiTheme="minorAscii"/>
          <w:sz w:val="30"/>
          <w:szCs w:val="30"/>
          <w:lang w:eastAsia="zh-CN"/>
        </w:rPr>
        <w:t>、</w:t>
      </w:r>
      <w:r>
        <w:rPr>
          <w:rFonts w:hint="eastAsia" w:eastAsia="仿宋" w:asciiTheme="minorAscii" w:hAnsiTheme="minorAscii"/>
          <w:sz w:val="30"/>
          <w:szCs w:val="30"/>
        </w:rPr>
        <w:t>教师队伍建设、学生素质提升、教学质量提升、体卫艺活动开展、教育信息化建设等</w:t>
      </w:r>
      <w:r>
        <w:rPr>
          <w:rFonts w:hint="default" w:eastAsia="仿宋" w:asciiTheme="minorAscii" w:hAnsiTheme="minorAscii"/>
          <w:sz w:val="30"/>
          <w:szCs w:val="30"/>
        </w:rPr>
        <w:t>。</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default" w:eastAsia="仿宋" w:asciiTheme="minorAscii" w:hAnsiTheme="minorAscii"/>
          <w:sz w:val="30"/>
          <w:szCs w:val="30"/>
        </w:rPr>
        <w:t>5、所有申报项目的实施都已按照预定目标快速、高效组织实施并取得较好的效益。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黑体" w:hAnsi="黑体" w:eastAsia="黑体" w:cs="黑体"/>
          <w:sz w:val="30"/>
          <w:szCs w:val="30"/>
        </w:rPr>
      </w:pPr>
      <w:r>
        <w:rPr>
          <w:rFonts w:hint="default" w:ascii="黑体" w:hAnsi="黑体" w:eastAsia="黑体" w:cs="黑体"/>
          <w:sz w:val="30"/>
          <w:szCs w:val="30"/>
        </w:rPr>
        <w:t>三、</w:t>
      </w:r>
      <w:r>
        <w:rPr>
          <w:rFonts w:hint="eastAsia" w:ascii="黑体" w:hAnsi="黑体" w:eastAsia="黑体" w:cs="黑体"/>
          <w:sz w:val="30"/>
          <w:szCs w:val="30"/>
        </w:rPr>
        <w:t>意见和建议</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（一）坚持教育优先发展，继续加大教育投入。</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要坚定不移把教育工作摆在优先发展的战略地位，按照＂三个优先＂的要求，进一步贯彻落实国家、省、市有关教育经费投入政策，认真履行政府职责，落实教育经费相关政策，坚持教育经费向薄弱环节和关键领域倾斜，促进教育事业的快速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（二）强化监督管理，提高经费使用效益。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eastAsia="仿宋" w:asciiTheme="minorAscii" w:hAnsiTheme="minorAscii"/>
          <w:sz w:val="30"/>
          <w:szCs w:val="30"/>
        </w:rPr>
      </w:pPr>
      <w:r>
        <w:rPr>
          <w:rFonts w:hint="eastAsia" w:eastAsia="仿宋" w:asciiTheme="minorAscii" w:hAnsiTheme="minorAscii"/>
          <w:sz w:val="30"/>
          <w:szCs w:val="30"/>
        </w:rPr>
        <w:t>一是经常开展学校的专项督查，提高经费使用效益。二是建立健全绩效评价考核机制。逐步建立起以强化资金使用效益为核心的教育经费投入和使用绩效评价体系，对学校教育投入使用情况进行动态监测、分析评价和综合考核，考核评价结果作为资金分配、工作考评和表彰奖励的重要依据。三是推进阳光财务。教育经费的安排使用，坚持科学配置，阳光操作，提升使用的公开透明度。四是确保专款专用。在使用管理中，制定专项资金管理办法，严禁截留、挤占、挪用专项资金。五是加快项目工程进度，重视质量监管，让资金尽快变为改善办学条件的社会效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eastAsia="仿宋" w:asciiTheme="minorAscii" w:hAnsiTheme="minorAscii"/>
          <w:b/>
          <w:bCs/>
          <w:sz w:val="30"/>
          <w:szCs w:val="30"/>
        </w:rPr>
      </w:pPr>
      <w:r>
        <w:rPr>
          <w:rFonts w:hint="eastAsia" w:eastAsia="仿宋" w:asciiTheme="minorAscii" w:hAnsiTheme="minorAscii"/>
          <w:b/>
          <w:bCs/>
          <w:sz w:val="30"/>
          <w:szCs w:val="30"/>
        </w:rPr>
        <w:t>（三）加强财会队伍建设，提高财务管理能力。</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r>
        <w:rPr>
          <w:rFonts w:hint="eastAsia" w:eastAsia="仿宋" w:asciiTheme="minorAscii" w:hAnsiTheme="minorAscii"/>
          <w:sz w:val="30"/>
          <w:szCs w:val="30"/>
        </w:rPr>
        <w:t>一是增加学校财会人员编制，逐步消除过去会计人员无证上岗和有证不专的现象；二是加大财务人员的培训力度，提高业务水平，进一步规范学校资金的管理和使用操作程序，最大限度地发挥教育资金使用效率。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教育事业发展经费</w:t>
      </w:r>
      <w:r>
        <w:rPr>
          <w:rFonts w:eastAsia="方正小标宋_GBK"/>
          <w:color w:val="000000"/>
          <w:kern w:val="0"/>
          <w:sz w:val="36"/>
          <w:szCs w:val="36"/>
        </w:rPr>
        <w:t>项目支出绩效自评表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hint="default" w:eastAsia="仿宋" w:asciiTheme="minorAscii" w:hAnsiTheme="minorAscii"/>
          <w:sz w:val="20"/>
          <w:szCs w:val="20"/>
        </w:rPr>
      </w:pPr>
    </w:p>
    <w:tbl>
      <w:tblPr>
        <w:tblStyle w:val="5"/>
        <w:tblW w:w="91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4"/>
        <w:gridCol w:w="1032"/>
        <w:gridCol w:w="1110"/>
        <w:gridCol w:w="1374"/>
        <w:gridCol w:w="424"/>
        <w:gridCol w:w="840"/>
        <w:gridCol w:w="840"/>
        <w:gridCol w:w="624"/>
        <w:gridCol w:w="782"/>
        <w:gridCol w:w="10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8094"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教育事业发展经费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094"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2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江永县上江圩镇中心小学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14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 xml:space="preserve">     资金来源</w:t>
            </w:r>
          </w:p>
        </w:tc>
        <w:tc>
          <w:tcPr>
            <w:tcW w:w="1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年初预算数</w:t>
            </w:r>
          </w:p>
        </w:tc>
        <w:tc>
          <w:tcPr>
            <w:tcW w:w="12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全年预算数</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全年执行数</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分值</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执行率</w:t>
            </w:r>
          </w:p>
        </w:tc>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2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2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w:t>
            </w:r>
          </w:p>
        </w:tc>
        <w:tc>
          <w:tcPr>
            <w:tcW w:w="12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2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12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w:t>
            </w:r>
          </w:p>
        </w:tc>
        <w:tc>
          <w:tcPr>
            <w:tcW w:w="12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331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78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贯彻执行国家教育方针政策，深化教育改革，发展素质教育，稳步提高教育质量，巩固艺术教育特色成果，促进江永教育事业的发展。保障人员经费，提高教师队伍幸福感；管好用好预算内资金，改善和优化学校的办学条件；促进学生全面发展，把教育教学质量放在首位，办人民满意的教育。</w:t>
            </w:r>
          </w:p>
        </w:tc>
        <w:tc>
          <w:tcPr>
            <w:tcW w:w="3314"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按计划全面完成。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7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31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78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314"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10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绩效指标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一级指标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二级指标</w:t>
            </w:r>
          </w:p>
        </w:tc>
        <w:tc>
          <w:tcPr>
            <w:tcW w:w="179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年度指标值</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实际完成值</w:t>
            </w:r>
          </w:p>
        </w:tc>
        <w:tc>
          <w:tcPr>
            <w:tcW w:w="6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分值</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得分</w:t>
            </w:r>
          </w:p>
        </w:tc>
        <w:tc>
          <w:tcPr>
            <w:tcW w:w="10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79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6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10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教师培训人数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89人</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抚恤金人数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1人</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生活补助人数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15人</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绩效奖人数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89人</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乡镇工作补贴人数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89人</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89人</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事业发展资金使用率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学生入学数量增长率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师生比达标率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学校安全事故发生次数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0次</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预算执行数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304.86万元</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304.86万元</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0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1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资金使用合规性</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68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eastAsia="仿宋" w:asciiTheme="minorAscii" w:hAnsiTheme="minorAscii"/>
          <w:sz w:val="30"/>
          <w:szCs w:val="30"/>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val="0"/>
        <w:kinsoku/>
        <w:wordWrap/>
        <w:overflowPunct/>
        <w:topLinePunct w:val="0"/>
        <w:autoSpaceDE/>
        <w:autoSpaceDN/>
        <w:bidi w:val="0"/>
        <w:adjustRightInd/>
        <w:snapToGrid/>
        <w:spacing w:line="240" w:lineRule="atLeast"/>
        <w:ind w:left="0"/>
        <w:jc w:val="center"/>
        <w:textAlignment w:val="auto"/>
        <w:rPr>
          <w:rFonts w:hint="eastAsia"/>
          <w:b/>
          <w:bCs/>
          <w:sz w:val="44"/>
          <w:szCs w:val="44"/>
        </w:rPr>
      </w:pPr>
      <w:r>
        <w:rPr>
          <w:rFonts w:hint="eastAsia"/>
          <w:b/>
          <w:bCs/>
          <w:sz w:val="44"/>
          <w:szCs w:val="44"/>
        </w:rPr>
        <w:t>学校专项资金</w:t>
      </w:r>
      <w:r>
        <w:rPr>
          <w:rFonts w:hint="eastAsia"/>
          <w:b/>
          <w:bCs/>
          <w:sz w:val="44"/>
          <w:szCs w:val="44"/>
          <w:lang w:eastAsia="zh-CN"/>
        </w:rPr>
        <w:t>（中心校运动场改造、校舍大型修缮等）</w:t>
      </w:r>
      <w:r>
        <w:rPr>
          <w:rFonts w:hint="eastAsia"/>
          <w:b/>
          <w:bCs/>
          <w:sz w:val="44"/>
          <w:szCs w:val="44"/>
        </w:rPr>
        <w:t>绩效自评报告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一、项目基本情况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（一）项目概况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 xml:space="preserve">1、项目单位基本情况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default"/>
          <w:sz w:val="30"/>
          <w:szCs w:val="30"/>
          <w:lang w:val="en-US" w:eastAsia="zh-CN"/>
        </w:rPr>
      </w:pPr>
      <w:r>
        <w:rPr>
          <w:rFonts w:hint="eastAsia"/>
          <w:sz w:val="30"/>
          <w:szCs w:val="30"/>
        </w:rPr>
        <w:t>20</w:t>
      </w:r>
      <w:r>
        <w:rPr>
          <w:rFonts w:hint="eastAsia"/>
          <w:sz w:val="30"/>
          <w:szCs w:val="30"/>
          <w:lang w:val="en-US" w:eastAsia="zh-CN"/>
        </w:rPr>
        <w:t>23</w:t>
      </w:r>
      <w:r>
        <w:rPr>
          <w:rFonts w:hint="eastAsia"/>
          <w:sz w:val="30"/>
          <w:szCs w:val="30"/>
        </w:rPr>
        <w:t>年在县委、县政府高度重视、正确领导下，贯彻落实中央和省、市、县对教育工作的部署，县教育局围绕全县教育发展的中心工作，全面深化教育领域综合改革，以“育人为本、强化管理、改革创新、提升质量”为方针，按照“学前教育抓规范，义务教育抓均衡”的总体要求，加强管理，提高质量，谋划发展，促进公平，继续深化教育综合改革，以“办人民满意教育”为目标。经过县财政局进行预算评审，合理地安排了20</w:t>
      </w:r>
      <w:r>
        <w:rPr>
          <w:rFonts w:hint="eastAsia"/>
          <w:sz w:val="30"/>
          <w:szCs w:val="30"/>
          <w:lang w:val="en-US" w:eastAsia="zh-CN"/>
        </w:rPr>
        <w:t>23</w:t>
      </w:r>
      <w:r>
        <w:rPr>
          <w:rFonts w:hint="eastAsia"/>
          <w:sz w:val="30"/>
          <w:szCs w:val="30"/>
        </w:rPr>
        <w:t>年教育专项资金项目，确保各项任务的全面推进，确保国家和省、市、县出台的各项政策规定的落实和政府教育改革及利民举措的实施。根据《县财政局关于下达20</w:t>
      </w:r>
      <w:r>
        <w:rPr>
          <w:rFonts w:hint="eastAsia"/>
          <w:sz w:val="30"/>
          <w:szCs w:val="30"/>
          <w:lang w:val="en-US" w:eastAsia="zh-CN"/>
        </w:rPr>
        <w:t>23</w:t>
      </w:r>
      <w:r>
        <w:rPr>
          <w:rFonts w:hint="eastAsia"/>
          <w:sz w:val="30"/>
          <w:szCs w:val="30"/>
        </w:rPr>
        <w:t>年县级部门预算支出指标的通知》，20</w:t>
      </w:r>
      <w:r>
        <w:rPr>
          <w:rFonts w:hint="eastAsia"/>
          <w:sz w:val="30"/>
          <w:szCs w:val="30"/>
          <w:lang w:val="en-US" w:eastAsia="zh-CN"/>
        </w:rPr>
        <w:t>23</w:t>
      </w:r>
      <w:r>
        <w:rPr>
          <w:rFonts w:hint="eastAsia"/>
          <w:sz w:val="30"/>
          <w:szCs w:val="30"/>
        </w:rPr>
        <w:t>年县本级年初预算安排教育专项资金</w:t>
      </w:r>
      <w:r>
        <w:rPr>
          <w:rFonts w:hint="eastAsia"/>
          <w:sz w:val="30"/>
          <w:szCs w:val="30"/>
          <w:lang w:val="en-US" w:eastAsia="zh-CN"/>
        </w:rPr>
        <w:t>79.8588</w:t>
      </w:r>
      <w:r>
        <w:rPr>
          <w:rFonts w:hint="eastAsia"/>
          <w:sz w:val="30"/>
          <w:szCs w:val="30"/>
        </w:rPr>
        <w:t>万元，</w:t>
      </w:r>
      <w:r>
        <w:rPr>
          <w:rFonts w:hint="eastAsia"/>
          <w:b w:val="0"/>
          <w:bCs w:val="0"/>
          <w:sz w:val="30"/>
          <w:szCs w:val="30"/>
          <w:lang w:eastAsia="zh-CN"/>
        </w:rPr>
        <w:t>其中：中心校</w:t>
      </w:r>
      <w:r>
        <w:rPr>
          <w:rFonts w:hint="eastAsia"/>
          <w:sz w:val="30"/>
          <w:szCs w:val="30"/>
          <w:lang w:val="en-US" w:eastAsia="zh-CN"/>
        </w:rPr>
        <w:t>运动场改造专项资金40万元，用于上江圩中心校运动场改造及附属设施建设，改善学校办学条件，学校实际支出40万元。校舍维修改造专项资金33.7488万元，用于学校校舍大型维修（维护）等，改善学校办学条件，学校实际支出33.7488万元。办公设备购置专项资金6.11万元，学校实际支出6.11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2、项目的实施依据</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①改善学校办学条件，用于学校校舍建设和维修改造、教学设备购置等。</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②支持教育教学发展，用于教师队伍建设、学生素质提升、教学质量提升、体卫艺活动开展、教育信息化建设等；</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3、项目基本性质、用途和主要内容、涉及范围</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20</w:t>
      </w:r>
      <w:r>
        <w:rPr>
          <w:rFonts w:hint="eastAsia"/>
          <w:sz w:val="30"/>
          <w:szCs w:val="30"/>
          <w:lang w:val="en-US" w:eastAsia="zh-CN"/>
        </w:rPr>
        <w:t>23</w:t>
      </w:r>
      <w:r>
        <w:rPr>
          <w:rFonts w:hint="eastAsia"/>
          <w:sz w:val="30"/>
          <w:szCs w:val="30"/>
        </w:rPr>
        <w:t>年度本级教育专项资金总计</w:t>
      </w:r>
      <w:r>
        <w:rPr>
          <w:rFonts w:hint="eastAsia"/>
          <w:sz w:val="30"/>
          <w:szCs w:val="30"/>
          <w:lang w:val="en-US" w:eastAsia="zh-CN"/>
        </w:rPr>
        <w:t>79.8588</w:t>
      </w:r>
      <w:r>
        <w:rPr>
          <w:rFonts w:hint="eastAsia"/>
          <w:sz w:val="30"/>
          <w:szCs w:val="30"/>
        </w:rPr>
        <w:t>万元，主要有薄弱学校改善与提升项目经费用于改善学校的教学、生活条件、全面改善全县义务教育薄弱环节。</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（二）项目绩效目标</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20</w:t>
      </w:r>
      <w:r>
        <w:rPr>
          <w:rFonts w:hint="eastAsia"/>
          <w:sz w:val="30"/>
          <w:szCs w:val="30"/>
          <w:lang w:val="en-US" w:eastAsia="zh-CN"/>
        </w:rPr>
        <w:t>23</w:t>
      </w:r>
      <w:r>
        <w:rPr>
          <w:rFonts w:hint="eastAsia"/>
          <w:sz w:val="30"/>
          <w:szCs w:val="30"/>
        </w:rPr>
        <w:t>年项目绩效目标是按政策性口子足额预算安排县本级教育专项资金</w:t>
      </w:r>
      <w:r>
        <w:rPr>
          <w:rFonts w:hint="eastAsia"/>
          <w:sz w:val="30"/>
          <w:szCs w:val="30"/>
          <w:lang w:val="en-US" w:eastAsia="zh-CN"/>
        </w:rPr>
        <w:t>79.8588</w:t>
      </w:r>
      <w:r>
        <w:rPr>
          <w:rFonts w:hint="eastAsia"/>
          <w:sz w:val="30"/>
          <w:szCs w:val="30"/>
        </w:rPr>
        <w:t>万元，深化教育教学改革，进一步改善学校办学条件，满足教育教学需要，确保教育教学工作正常运转；办好人民满意教育，确保农村义务教育持续稳定发展。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二、绩效评价工作情况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分析和综合评价专项资金的分配使用情况，进一步管理和使用好专项资金，切实提高财政资金使用效率和项目管理水平，为以后年度财政资金预算安排提供重要参考依据。按以下绩效评价工作过程：</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1、前期准备。做好教育专项经费年初预算。</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2、组织实施。按年初预算制定方案，开展活动，项目资金进行专款专用，项目资金实行财政国库集中支付管理，严格资金拨付审批程序。</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3、分析评价。通过现场了解、查阅相关资料，结合项目实施实际，按照评价指标对项目实施进行现场评价。对项目做出独立、客观、公正、实事求是的绩效评价，出具评价报告。</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三、绩效评价指标分析情况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（一）项目资金情况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1、项目资金到位情况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预算安排县本级教育专项资金</w:t>
      </w:r>
      <w:r>
        <w:rPr>
          <w:rFonts w:hint="eastAsia"/>
          <w:sz w:val="30"/>
          <w:szCs w:val="30"/>
          <w:lang w:val="en-US" w:eastAsia="zh-CN"/>
        </w:rPr>
        <w:t>79.8588</w:t>
      </w:r>
      <w:r>
        <w:rPr>
          <w:rFonts w:hint="eastAsia"/>
          <w:sz w:val="30"/>
          <w:szCs w:val="30"/>
        </w:rPr>
        <w:t>万元，实际到位资金</w:t>
      </w:r>
      <w:r>
        <w:rPr>
          <w:rFonts w:hint="eastAsia"/>
          <w:sz w:val="30"/>
          <w:szCs w:val="30"/>
          <w:lang w:val="en-US" w:eastAsia="zh-CN"/>
        </w:rPr>
        <w:t>79.8588</w:t>
      </w:r>
      <w:r>
        <w:rPr>
          <w:rFonts w:hint="eastAsia"/>
          <w:sz w:val="30"/>
          <w:szCs w:val="30"/>
        </w:rPr>
        <w:t>万元。</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2、项目资金使用情况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依据20</w:t>
      </w:r>
      <w:r>
        <w:rPr>
          <w:rFonts w:hint="eastAsia"/>
          <w:sz w:val="30"/>
          <w:szCs w:val="30"/>
          <w:lang w:val="en-US" w:eastAsia="zh-CN"/>
        </w:rPr>
        <w:t>23</w:t>
      </w:r>
      <w:r>
        <w:rPr>
          <w:rFonts w:hint="eastAsia"/>
          <w:sz w:val="30"/>
          <w:szCs w:val="30"/>
        </w:rPr>
        <w:t>年初批复预算，各部门严格按照年初制定的方案并经审批通过的预算执行。</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3、项目资金管理情况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财政按进度拨付资金，实行专款专用，加强对资金使用情况的管理与检查，自觉接受审计部门的监督，杜绝挤占、截留、挪用现金的发生，提升资金使用效益。</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（二）项目实施情况分析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1、项目组织情况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为确保县级专项资金项目的顺利完成，教育部门和财政部门紧密配合，精心组织，稳步实施。</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2、项目管理情况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我县为加强教育专项资金的有效管理，一是强化了制度建设。出台了等一系列制度和方案，坚持用制度管钱管人管事。二是强化了项目监管。为进一步加大财务监管力度，建立健全了教育财务工作监测评价机制。三是强化了考核奖惩。县教育部门将中小学校的财务工作列入年度工作目标管理考核内容，对中小学校财务工作实行目标考核。</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（三）项目绩效情况分析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1、项目经济性分析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（1）项目成本（预算）控制情况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年初时，按照“两上两下”的程序，即：遵循从学校→教育局→财政局→县人大→财政局→教育局→学校的程序，认真编制教育部门预算，既考虑了将政策性教育经费口子开足开满，又结合了我县财政困难的实际情况，厉行节约，切实做到收支平衡，从严控制部门预算。</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（2）项目成本（预算）节约情况</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项目执行过程中严格控制各项经费开支，严格按年初预算控制支付。</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2、项目的效率性分析</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（1）项目的实施进度</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教育专项资金项目在年初完成预算后，教育和财政部门严格按照预算计划和使用途径，对项目进行分步实施，根据轻重缓急，合理安排资金拨付。</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项目完成质量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年底时，教育和财政部门及时进行年终结算，基本做到了当年的项目当年实施，当年完成。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3、项目的效益性分析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（1）项目预期目标完成程度</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项目实施经费资金投入县本级教育专项资金</w:t>
      </w:r>
      <w:r>
        <w:rPr>
          <w:rFonts w:hint="eastAsia"/>
          <w:sz w:val="30"/>
          <w:szCs w:val="30"/>
          <w:lang w:val="en-US" w:eastAsia="zh-CN"/>
        </w:rPr>
        <w:t>79.8588</w:t>
      </w:r>
      <w:r>
        <w:rPr>
          <w:rFonts w:hint="eastAsia"/>
          <w:sz w:val="30"/>
          <w:szCs w:val="30"/>
        </w:rPr>
        <w:t>万元，均完成了年初指标目标任务，确保了各项教育的开展。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（2）项目实施对经济和社会的影响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通过实施县级教育专项资金项目，有力保障了教育教学工作的正常开展，全面提高了教师的整体素质，大幅度提升了教育教学质量，切实改善了农村中小学办学条件，充分发挥了县级教育专项资金的使用效益。深受广大居民欢迎，创造了良好的社会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四、综合评价情况及评价结论（附相关评分表）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20</w:t>
      </w:r>
      <w:r>
        <w:rPr>
          <w:rFonts w:hint="eastAsia"/>
          <w:sz w:val="30"/>
          <w:szCs w:val="30"/>
          <w:lang w:val="en-US" w:eastAsia="zh-CN"/>
        </w:rPr>
        <w:t>23</w:t>
      </w:r>
      <w:r>
        <w:rPr>
          <w:rFonts w:hint="eastAsia"/>
          <w:sz w:val="30"/>
          <w:szCs w:val="30"/>
        </w:rPr>
        <w:t>年度教育专项资金项目，建设目标明确，项目符合申报条件，程序到位，手续齐全，资金项目质量达到相关行业标准，达到预期绩效目标要求，自评得分</w:t>
      </w:r>
      <w:r>
        <w:rPr>
          <w:rFonts w:hint="eastAsia"/>
          <w:sz w:val="30"/>
          <w:szCs w:val="30"/>
          <w:lang w:val="en-US" w:eastAsia="zh-CN"/>
        </w:rPr>
        <w:t>100</w:t>
      </w:r>
      <w:r>
        <w:rPr>
          <w:rFonts w:hint="eastAsia"/>
          <w:sz w:val="30"/>
          <w:szCs w:val="30"/>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五、绩效评价结果应用</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根据绩效评价结果，教育专项经费保障了教育教学工作的开展；激发教师工作积极性，提高教育教学质量，该项工作应当继续深化开展。</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 xml:space="preserve">六、主要经验及做法、存在的问题和建议 </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（一）主要经验做法和后续工作计划</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1、注重加强对专项资金项目立项、预算编制工作的管理。在编报项目预算时要求制定详细的项目推进计划，明确分工，责任到人，以保证专项资金均能够保质保量执行到位。</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加强对项目的过程管理。设备采购、基建工程、维护维修等需要进行政府采购的项目，均通过县采购办，从资金申报、项目审定、采购审批、抽取代理机构、发布公告、招投标等，全程每环节均通过政府采购网实施，实现了政府采购全过程的公开、公平、透明。</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(二)存在的主要问题和改进措施、建议</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1、专项资金管理办法有待完善</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按照相关规定要求并结合实际，我们对专项资金的用途进行了明确，但并没有出台具体的操作实施细则。在具体的操作实施中存在随意性和不确定性，为此我们建议可根据实际情况制定具体的管理办法，完善财务管理机制。</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2、专项资金安排使用有待优化</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sz w:val="30"/>
          <w:szCs w:val="30"/>
        </w:rPr>
      </w:pPr>
      <w:r>
        <w:rPr>
          <w:rFonts w:hint="eastAsia"/>
          <w:sz w:val="30"/>
          <w:szCs w:val="30"/>
        </w:rPr>
        <w:t>通过此次绩效评价，我们发现在资金安排使用过程中存在几点不足：一是用于基础设施建设的资金落实情况不是很好，一些资金预算有安排，但由于种种原因，没有执行到位。建议专项资金的预算细化，加强预算执行；二是在具体执行时，发现某些具体项目考虑得不够周到，如各项工作经费等资金较少。</w:t>
      </w:r>
    </w:p>
    <w:p>
      <w:pPr>
        <w:keepNext w:val="0"/>
        <w:keepLines w:val="0"/>
        <w:pageBreakBefore w:val="0"/>
        <w:widowControl w:val="0"/>
        <w:kinsoku/>
        <w:wordWrap/>
        <w:overflowPunct/>
        <w:topLinePunct w:val="0"/>
        <w:autoSpaceDE/>
        <w:autoSpaceDN/>
        <w:bidi w:val="0"/>
        <w:adjustRightInd/>
        <w:snapToGrid/>
        <w:spacing w:line="240" w:lineRule="atLeast"/>
        <w:ind w:left="0" w:firstLine="602" w:firstLineChars="200"/>
        <w:textAlignment w:val="auto"/>
        <w:rPr>
          <w:rFonts w:hint="eastAsia"/>
          <w:b/>
          <w:bCs/>
          <w:sz w:val="30"/>
          <w:szCs w:val="30"/>
        </w:rPr>
      </w:pPr>
      <w:r>
        <w:rPr>
          <w:rFonts w:hint="eastAsia"/>
          <w:b/>
          <w:bCs/>
          <w:sz w:val="30"/>
          <w:szCs w:val="30"/>
        </w:rPr>
        <w:t>七、其他需要说明的问题</w:t>
      </w:r>
    </w:p>
    <w:p>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sz w:val="30"/>
          <w:szCs w:val="30"/>
        </w:rPr>
      </w:pPr>
      <w:r>
        <w:rPr>
          <w:rFonts w:hint="eastAsia"/>
          <w:sz w:val="30"/>
          <w:szCs w:val="30"/>
        </w:rPr>
        <w:t>加大资金投入，全面提高我县教育教学质量。</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36"/>
          <w:szCs w:val="36"/>
        </w:rPr>
      </w:pPr>
      <w:r>
        <w:rPr>
          <w:rFonts w:hint="eastAsia" w:ascii="微软雅黑" w:hAnsi="微软雅黑" w:eastAsia="微软雅黑" w:cs="微软雅黑"/>
          <w:i w:val="0"/>
          <w:iCs w:val="0"/>
          <w:color w:val="000000"/>
          <w:kern w:val="0"/>
          <w:sz w:val="36"/>
          <w:szCs w:val="36"/>
          <w:u w:val="none"/>
          <w:lang w:val="en-US" w:eastAsia="zh-CN" w:bidi="ar"/>
        </w:rPr>
        <w:t>中心校运动场改造、校舍维修等</w:t>
      </w:r>
      <w:r>
        <w:rPr>
          <w:rFonts w:eastAsia="方正小标宋_GBK"/>
          <w:color w:val="000000"/>
          <w:kern w:val="0"/>
          <w:sz w:val="36"/>
          <w:szCs w:val="36"/>
        </w:rPr>
        <w:t>项目支出绩效自评表</w:t>
      </w:r>
    </w:p>
    <w:p>
      <w:pPr>
        <w:keepNext w:val="0"/>
        <w:keepLines w:val="0"/>
        <w:pageBreakBefore w:val="0"/>
        <w:widowControl/>
        <w:suppressLineNumbers w:val="0"/>
        <w:kinsoku/>
        <w:wordWrap/>
        <w:overflowPunct/>
        <w:topLinePunct w:val="0"/>
        <w:autoSpaceDE/>
        <w:autoSpaceDN/>
        <w:bidi w:val="0"/>
        <w:adjustRightInd/>
        <w:snapToGrid/>
        <w:spacing w:line="240" w:lineRule="atLeast"/>
        <w:ind w:left="0"/>
        <w:jc w:val="center"/>
        <w:textAlignment w:val="center"/>
        <w:rPr>
          <w:rFonts w:hint="default" w:ascii="微软雅黑" w:hAnsi="微软雅黑" w:eastAsia="微软雅黑" w:cs="微软雅黑"/>
          <w:i w:val="0"/>
          <w:iCs w:val="0"/>
          <w:color w:val="000000"/>
          <w:kern w:val="0"/>
          <w:sz w:val="20"/>
          <w:szCs w:val="20"/>
          <w:u w:val="none"/>
          <w:lang w:val="en-US" w:eastAsia="zh-CN" w:bidi="ar"/>
        </w:rPr>
      </w:pPr>
    </w:p>
    <w:tbl>
      <w:tblPr>
        <w:tblStyle w:val="5"/>
        <w:tblW w:w="94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4"/>
        <w:gridCol w:w="1050"/>
        <w:gridCol w:w="1062"/>
        <w:gridCol w:w="1892"/>
        <w:gridCol w:w="924"/>
        <w:gridCol w:w="912"/>
        <w:gridCol w:w="672"/>
        <w:gridCol w:w="762"/>
        <w:gridCol w:w="1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项目支出名称</w:t>
            </w:r>
          </w:p>
        </w:tc>
        <w:tc>
          <w:tcPr>
            <w:tcW w:w="8376"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中心校运动场改造、校舍维修等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8376"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主管部门</w:t>
            </w:r>
          </w:p>
        </w:tc>
        <w:tc>
          <w:tcPr>
            <w:tcW w:w="4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实施单位</w:t>
            </w:r>
          </w:p>
        </w:tc>
        <w:tc>
          <w:tcPr>
            <w:tcW w:w="25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江永县上江圩镇中心小学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项目资金(万元)</w:t>
            </w:r>
          </w:p>
        </w:tc>
        <w:tc>
          <w:tcPr>
            <w:tcW w:w="211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 xml:space="preserve">     资金来源</w:t>
            </w:r>
          </w:p>
        </w:tc>
        <w:tc>
          <w:tcPr>
            <w:tcW w:w="1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年初预算数</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全年预算数</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全年执行数</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执行率</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2"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其中:当年财政拨款</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上年结转金额</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其它资金</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年度资金总额</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年度总体目标</w:t>
            </w:r>
          </w:p>
        </w:tc>
        <w:tc>
          <w:tcPr>
            <w:tcW w:w="4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预期目标</w:t>
            </w:r>
          </w:p>
        </w:tc>
        <w:tc>
          <w:tcPr>
            <w:tcW w:w="34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92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贯彻执行国家教育方针政策，深化教育改革，发展素质教育，稳步提高教育质量，巩固艺术教育特色成果，促进我县教育事业的发展。保障人员经费，提高教师队伍幸福感；管好用好预算内资金，改善和优化学校的办学条件；促进学生全面发展，把教育教学质量放在首位，办人民满意的教育。</w:t>
            </w:r>
          </w:p>
        </w:tc>
        <w:tc>
          <w:tcPr>
            <w:tcW w:w="344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92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4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0"/>
                <w:szCs w:val="20"/>
                <w:u w:val="none"/>
              </w:rPr>
            </w:pPr>
          </w:p>
        </w:tc>
        <w:tc>
          <w:tcPr>
            <w:tcW w:w="492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344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jc w:val="center"/>
        </w:trPr>
        <w:tc>
          <w:tcPr>
            <w:tcW w:w="1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绩效指标</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18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6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7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c>
          <w:tcPr>
            <w:tcW w:w="11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8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6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7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c>
          <w:tcPr>
            <w:tcW w:w="11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中心校运动场改造</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一个</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一个</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荆田小学提质改造</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一所</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一所</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校舍维修验收合格率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完成时间</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2023年内完成</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生均学校面积达标率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校园环境改善情况</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改善</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学校安全事故发生次数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0次</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0次</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教师满意度</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98%</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98%</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家长满意度</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预算执行数</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79.85万元</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79.85万元</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rPr>
                <w:rFonts w:hint="eastAsia" w:ascii="微软雅黑" w:hAnsi="微软雅黑" w:eastAsia="微软雅黑" w:cs="微软雅黑"/>
                <w:i w:val="0"/>
                <w:iCs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2"/>
                <w:szCs w:val="22"/>
                <w:u w:val="none"/>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18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资金使用合规性</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合规</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68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总分</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ind w:left="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ind w:left="0"/>
              <w:jc w:val="center"/>
              <w:rPr>
                <w:rFonts w:hint="eastAsia" w:ascii="微软雅黑" w:hAnsi="微软雅黑" w:eastAsia="微软雅黑" w:cs="微软雅黑"/>
                <w:i w:val="0"/>
                <w:iCs w:val="0"/>
                <w:color w:val="000000"/>
                <w:sz w:val="20"/>
                <w:szCs w:val="20"/>
                <w:u w:val="none"/>
              </w:rPr>
            </w:pPr>
          </w:p>
        </w:tc>
      </w:tr>
    </w:tbl>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方正小标宋_GBK"/>
          <w:color w:val="000000"/>
          <w:kern w:val="0"/>
          <w:sz w:val="44"/>
          <w:szCs w:val="44"/>
        </w:rPr>
      </w:pPr>
    </w:p>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44"/>
          <w:szCs w:val="44"/>
        </w:rPr>
      </w:pP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黑体" w:hAnsi="黑体" w:eastAsia="黑体"/>
          <w:kern w:val="0"/>
          <w:sz w:val="32"/>
          <w:szCs w:val="32"/>
        </w:rPr>
      </w:pPr>
      <w:r>
        <w:rPr>
          <w:rFonts w:hint="eastAsia" w:ascii="黑体" w:hAnsi="黑体" w:eastAsia="黑体"/>
          <w:kern w:val="0"/>
          <w:sz w:val="32"/>
          <w:szCs w:val="32"/>
          <w:lang w:eastAsia="zh-CN"/>
        </w:rPr>
        <w:t>上江圩镇中心小学</w:t>
      </w:r>
      <w:r>
        <w:rPr>
          <w:rFonts w:ascii="黑体" w:hAnsi="黑体" w:eastAsia="黑体"/>
          <w:kern w:val="0"/>
          <w:sz w:val="32"/>
          <w:szCs w:val="32"/>
        </w:rPr>
        <w:t>专项（项目）资金绩效评价表</w:t>
      </w:r>
    </w:p>
    <w:tbl>
      <w:tblPr>
        <w:tblStyle w:val="5"/>
        <w:tblW w:w="9140" w:type="dxa"/>
        <w:jc w:val="center"/>
        <w:tblLayout w:type="fixed"/>
        <w:tblCellMar>
          <w:top w:w="0" w:type="dxa"/>
          <w:left w:w="108" w:type="dxa"/>
          <w:bottom w:w="0" w:type="dxa"/>
          <w:right w:w="108" w:type="dxa"/>
        </w:tblCellMar>
      </w:tblPr>
      <w:tblGrid>
        <w:gridCol w:w="630"/>
        <w:gridCol w:w="673"/>
        <w:gridCol w:w="959"/>
        <w:gridCol w:w="2458"/>
        <w:gridCol w:w="4062"/>
        <w:gridCol w:w="358"/>
      </w:tblGrid>
      <w:tr>
        <w:tblPrEx>
          <w:tblCellMar>
            <w:top w:w="0" w:type="dxa"/>
            <w:left w:w="108" w:type="dxa"/>
            <w:bottom w:w="0" w:type="dxa"/>
            <w:right w:w="108" w:type="dxa"/>
          </w:tblCellMar>
        </w:tblPrEx>
        <w:trPr>
          <w:jc w:val="center"/>
        </w:trPr>
        <w:tc>
          <w:tcPr>
            <w:tcW w:w="630" w:type="dxa"/>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一级</w:t>
            </w:r>
          </w:p>
        </w:tc>
        <w:tc>
          <w:tcPr>
            <w:tcW w:w="673" w:type="dxa"/>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二级</w:t>
            </w:r>
          </w:p>
        </w:tc>
        <w:tc>
          <w:tcPr>
            <w:tcW w:w="959"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三级指标</w:t>
            </w:r>
          </w:p>
        </w:tc>
        <w:tc>
          <w:tcPr>
            <w:tcW w:w="2458"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指标解释</w:t>
            </w:r>
          </w:p>
        </w:tc>
        <w:tc>
          <w:tcPr>
            <w:tcW w:w="4062"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指标说明</w:t>
            </w:r>
          </w:p>
        </w:tc>
        <w:tc>
          <w:tcPr>
            <w:tcW w:w="358" w:type="dxa"/>
            <w:vMerge w:val="restart"/>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b/>
                <w:bCs/>
                <w:color w:val="000000"/>
                <w:kern w:val="0"/>
                <w:sz w:val="20"/>
                <w:szCs w:val="20"/>
              </w:rPr>
              <w:t>得分</w:t>
            </w:r>
          </w:p>
        </w:tc>
      </w:tr>
      <w:tr>
        <w:tblPrEx>
          <w:tblCellMar>
            <w:top w:w="0" w:type="dxa"/>
            <w:left w:w="108" w:type="dxa"/>
            <w:bottom w:w="0" w:type="dxa"/>
            <w:right w:w="108" w:type="dxa"/>
          </w:tblCellMar>
        </w:tblPrEx>
        <w:trPr>
          <w:trHeight w:val="452" w:hRule="atLeast"/>
          <w:jc w:val="center"/>
        </w:trPr>
        <w:tc>
          <w:tcPr>
            <w:tcW w:w="63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6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eastAsia="仿宋_GB2312"/>
                <w:b/>
                <w:bCs/>
                <w:color w:val="000000"/>
                <w:kern w:val="0"/>
                <w:sz w:val="20"/>
                <w:szCs w:val="20"/>
              </w:rPr>
            </w:pPr>
            <w:r>
              <w:rPr>
                <w:rFonts w:eastAsia="仿宋_GB2312"/>
                <w:b/>
                <w:bCs/>
                <w:color w:val="000000"/>
                <w:kern w:val="0"/>
                <w:sz w:val="20"/>
                <w:szCs w:val="20"/>
              </w:rPr>
              <w:t>指标</w:t>
            </w:r>
          </w:p>
        </w:tc>
        <w:tc>
          <w:tcPr>
            <w:tcW w:w="959"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2458"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4062" w:type="dxa"/>
            <w:vMerge w:val="continue"/>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c>
          <w:tcPr>
            <w:tcW w:w="358" w:type="dxa"/>
            <w:vMerge w:val="continue"/>
            <w:tcBorders>
              <w:top w:val="single" w:color="auto" w:sz="4" w:space="0"/>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投入</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宋体" w:hAnsi="宋体"/>
                <w:color w:val="000000"/>
                <w:kern w:val="0"/>
                <w:sz w:val="24"/>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（12分）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项目立项规范性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项目的申请、设立过程是否符合相关要求，用以反映和考核项目立项的规范情况。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①项目是否按照规定的程序申请设立；</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②所提交的文件、材料是否符合相关要求；</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4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③事前是否已经过必要的可行性研究、专家论证、风险评估、集体决策等。</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绩效目标合理性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项目所设定的绩效目标是否依据充分，是否符合客观实际，用以反映和考核项目绩效目标与项目实施的相符情况。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①是否符合国家相关法律法规，国民经济发展规划和党委政府决策；</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②是否与项目实施单位或委托单位职责密切相关；</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③项目是否为促进事业发展所必需；</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④项目预期产出效益和效果是否符合正常的业绩水平。</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绩效指标明确性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依据绩效目标设定的绩效指标是否清晰、细化、可衡量等，用以反映和考核项目绩效目标的明细化情况。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①是否将项目绩效目标细化分解为具体的绩效指标；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②是否通过清晰、可衡量的指标值予以体现；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③是否与项目年度任务</w:t>
            </w:r>
            <w:r>
              <w:rPr>
                <w:rFonts w:hint="eastAsia" w:ascii="仿宋_GB2312" w:hAnsi="宋体"/>
                <w:color w:val="000000"/>
                <w:kern w:val="0"/>
                <w:sz w:val="20"/>
                <w:szCs w:val="20"/>
              </w:rPr>
              <w:t>数</w:t>
            </w:r>
            <w:r>
              <w:rPr>
                <w:rFonts w:ascii="仿宋_GB2312" w:hAnsi="宋体"/>
                <w:color w:val="000000"/>
                <w:kern w:val="0"/>
                <w:sz w:val="20"/>
                <w:szCs w:val="20"/>
              </w:rPr>
              <w:t>或计划数相对应；</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trHeight w:val="67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④是否与预期确定的项目投资额或资金量相匹配。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资金落实</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资金到位率（4分）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实际到位资金与计划投入资金的比率，用以反映和考核资金落实情况对项目实施的总体保障程度。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资金到位率=（实际到位资金/计划投入资金）×100%。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实际到位资金：一定时期（本年度或项目期）内实际落实到具体项目的资金。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780"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计划投入资金：一定时期（本年度或项目期）内计划投入到具体项目的资金。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到位及时率（4分）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及时到位资金与应到位资金的比率，用以反映和考核项目资金落实的及时性程度。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到位及时率＝（及时到位资金/应到位资金）×100%。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及时到位资金：截至规定时点实际落实到具体项目的资金。</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eastAsia="宋体"/>
                <w:color w:val="000000"/>
                <w:kern w:val="0"/>
                <w:sz w:val="24"/>
                <w:lang w:eastAsia="zh-CN"/>
              </w:rPr>
            </w:pPr>
            <w:r>
              <w:rPr>
                <w:rFonts w:hint="eastAsia" w:ascii="宋体" w:hAnsi="宋体"/>
                <w:color w:val="000000"/>
                <w:kern w:val="0"/>
                <w:sz w:val="24"/>
                <w:lang w:val="en-US" w:eastAsia="zh-CN"/>
              </w:rPr>
              <w:t>4</w:t>
            </w:r>
          </w:p>
        </w:tc>
      </w:tr>
      <w:tr>
        <w:tblPrEx>
          <w:tblCellMar>
            <w:top w:w="0" w:type="dxa"/>
            <w:left w:w="108" w:type="dxa"/>
            <w:bottom w:w="0" w:type="dxa"/>
            <w:right w:w="108" w:type="dxa"/>
          </w:tblCellMar>
        </w:tblPrEx>
        <w:trPr>
          <w:trHeight w:val="86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应到位资金：按照合同或项目进度要求截至规定时点应落实到具体项目的资金。</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nil"/>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过程</w:t>
            </w:r>
          </w:p>
          <w:p>
            <w:pPr>
              <w:keepNext w:val="0"/>
              <w:keepLines w:val="0"/>
              <w:pageBreakBefore w:val="0"/>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业务管理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（10分）</w:t>
            </w:r>
          </w:p>
          <w:p>
            <w:pPr>
              <w:keepNext w:val="0"/>
              <w:keepLines w:val="0"/>
              <w:pageBreakBefore w:val="0"/>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项目实施单位的业务管理制度是否健全，用以反映和考核业务管理制度对项目顺利实施的保障情况。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①是否已制定或具有相应的业务管理制度；</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633"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②业务管理制度是否合法、合规、完整。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制度执行有效性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项目实施是否符合相关业务管理规定，用以反映和考核业务管理制度的有效执行情况。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①是否遵守相关法律法规和业务管理规定；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②项目调整及支出调整手续是否完备；</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③项目合同书、验收报告、技术审定等资料是否齐全并及时归档</w:t>
            </w:r>
            <w:r>
              <w:rPr>
                <w:rFonts w:hint="eastAsia" w:ascii="仿宋_GB2312" w:hAnsi="宋体"/>
                <w:color w:val="000000"/>
                <w:kern w:val="0"/>
                <w:sz w:val="20"/>
                <w:szCs w:val="20"/>
              </w:rPr>
              <w:t>；</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900"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④项目实施的人员条件、场地设备，信息支撑等是否落实到位。</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项目质量可控性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项目实施单位是否为达到项目质量要求而采取了必需的措施，用以反映和考核项目实施单位对项目质量的控制情况。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①是否已制定或其有相应的项目质量要求或标准；</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89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②是否采取了相应的项目质量检查、验收等必需的控制措施或手段。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restart"/>
            <w:tcBorders>
              <w:top w:val="single" w:color="auto" w:sz="4" w:space="0"/>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财务管理</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管理制度健全性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（5分）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项目实施单位的财务制度是否健全，用以反映和考核财务管理制度对资金规范安全运行的保障情况。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①是否已制定或具有相应的项目资金管理办法；</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66"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②项目资金管理办法是否符合相关财务会计制度的规定。</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5</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资金使用合规性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项目资金使用是否符合相关的财务管理制度规定，用以反映和考核项目资金的规范运行情况。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①是否符合国家财经法规和财务管理以及有关专项资金管理办法的规定；</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②资金的拨付是否有完整的审批程序和手续；</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③项目的重大开支是否经过评估认证；</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④是否符合项目预算批复或合同规定的用途；</w:t>
            </w:r>
          </w:p>
          <w:p>
            <w:pPr>
              <w:keepNext w:val="0"/>
              <w:keepLines w:val="0"/>
              <w:pageBreakBefore w:val="0"/>
              <w:widowControl/>
              <w:kinsoku/>
              <w:wordWrap/>
              <w:overflowPunct/>
              <w:topLinePunct w:val="0"/>
              <w:autoSpaceDE/>
              <w:autoSpaceDN/>
              <w:bidi w:val="0"/>
              <w:adjustRightInd/>
              <w:snapToGrid/>
              <w:spacing w:line="240" w:lineRule="atLeast"/>
              <w:ind w:left="0"/>
              <w:rPr>
                <w:rFonts w:hint="eastAsia" w:ascii="仿宋_GB2312" w:hAnsi="宋体"/>
                <w:color w:val="000000"/>
                <w:kern w:val="0"/>
                <w:sz w:val="20"/>
                <w:szCs w:val="20"/>
              </w:rPr>
            </w:pPr>
            <w:r>
              <w:rPr>
                <w:rFonts w:ascii="仿宋_GB2312" w:hAnsi="宋体"/>
                <w:color w:val="000000"/>
                <w:kern w:val="0"/>
                <w:sz w:val="20"/>
                <w:szCs w:val="20"/>
              </w:rPr>
              <w:t>⑤是否存在截留、挤占、挪用、虚列支出等情况。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377"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财务监控有效性</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项目实施单位是否为保障资金的安全、规范运行而采取了必要的监控措施，用以反映和考核项目实施单位对资金运行的控制情况。</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评价要点：</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①是否已制定或具有相应的监控机制；</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824" w:hRule="atLeast"/>
          <w:jc w:val="center"/>
        </w:trPr>
        <w:tc>
          <w:tcPr>
            <w:tcW w:w="630" w:type="dxa"/>
            <w:vMerge w:val="continue"/>
            <w:tcBorders>
              <w:top w:val="nil"/>
              <w:left w:val="single" w:color="auto" w:sz="4" w:space="0"/>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②是否采取了相应的财务检查等必要的监控措施或手段。</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项目产出</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（30分）</w:t>
            </w: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实际完成率（7分）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项目实施的实际产出数与计划产出数的比率，用以反映和考核项目产出数量目标的实现程度。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实际完成率＝（实际产出数/计划产出数）×100%。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trHeight w:val="568"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实际产出数：一定时期（本年度或项目期）内项目实际产出的产品或提供的服务数。</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822"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计划产出数：项目绩效目标确定的在一定时期（本年度或项目期）内计划产出的产品或提供的服务数量。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完成及时率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（7分）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项目实际提前完成时间与计划完成时间的比率，用以反映和考核项目产出时效目标的实现程度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 xml:space="preserve">完成及时率[ </w:t>
            </w:r>
            <w:r>
              <w:rPr>
                <w:rFonts w:hint="eastAsia" w:ascii="仿宋_GB2312" w:hAnsi="宋体"/>
                <w:color w:val="000000"/>
                <w:kern w:val="0"/>
                <w:sz w:val="20"/>
                <w:szCs w:val="20"/>
              </w:rPr>
              <w:t>（</w:t>
            </w:r>
            <w:r>
              <w:rPr>
                <w:rFonts w:ascii="仿宋_GB2312" w:hAnsi="宋体"/>
                <w:color w:val="000000"/>
                <w:kern w:val="0"/>
                <w:sz w:val="20"/>
                <w:szCs w:val="20"/>
              </w:rPr>
              <w:t>计划完成时间-实际完成时间）/计划完成时间]</w:t>
            </w:r>
            <w:r>
              <w:rPr>
                <w:rFonts w:ascii="宋体" w:hAnsi="宋体"/>
                <w:color w:val="000000"/>
                <w:kern w:val="0"/>
                <w:sz w:val="20"/>
                <w:szCs w:val="20"/>
              </w:rPr>
              <w:t> </w:t>
            </w:r>
            <w:r>
              <w:rPr>
                <w:rFonts w:ascii="仿宋_GB2312" w:hAnsi="宋体"/>
                <w:color w:val="000000"/>
                <w:kern w:val="0"/>
                <w:sz w:val="20"/>
                <w:szCs w:val="20"/>
              </w:rPr>
              <w:t>×100%。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实际完成时间：项目实施单位完成该项目实际所耗用的时间。</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7</w:t>
            </w:r>
          </w:p>
        </w:tc>
      </w:tr>
      <w:tr>
        <w:tblPrEx>
          <w:tblCellMar>
            <w:top w:w="0" w:type="dxa"/>
            <w:left w:w="108" w:type="dxa"/>
            <w:bottom w:w="0" w:type="dxa"/>
            <w:right w:w="108" w:type="dxa"/>
          </w:tblCellMar>
        </w:tblPrEx>
        <w:trPr>
          <w:trHeight w:val="51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计划完成时间：按照项目实施计划或相关规定完成该项目所需的时间。</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质量达标率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项目完成的质量达标产出数与实际产出数的比率，用以反映和考核项目产出质量目标的实现程度。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质量达标率＝（质量达标产出数/实际产出数）/100%。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质量达标产出数：一定时期（本年度或项目期）内实际达到既定质量标准的产品或服务数量。</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100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既定质量标准是指项目实施单位设立绩效目标时依据计划标准、行业标准、历史标准或其他标准而设定的绩效指标值。</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成本节约率</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（8分）</w:t>
            </w:r>
          </w:p>
        </w:tc>
        <w:tc>
          <w:tcPr>
            <w:tcW w:w="2458"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完成项目计划工作目标的实际节约成本与计划成本的比率，用以反映和考核项目的成本节约程度。</w:t>
            </w: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成本节约率＝</w:t>
            </w:r>
            <w:r>
              <w:rPr>
                <w:rFonts w:hint="eastAsia" w:ascii="仿宋_GB2312" w:hAnsi="宋体"/>
                <w:color w:val="000000"/>
                <w:kern w:val="0"/>
                <w:sz w:val="20"/>
                <w:szCs w:val="20"/>
              </w:rPr>
              <w:t>（</w:t>
            </w:r>
            <w:r>
              <w:rPr>
                <w:rFonts w:ascii="仿宋_GB2312" w:hAnsi="宋体"/>
                <w:color w:val="000000"/>
                <w:kern w:val="0"/>
                <w:sz w:val="20"/>
                <w:szCs w:val="20"/>
              </w:rPr>
              <w:t>计划成本-实际成本</w:t>
            </w:r>
            <w:r>
              <w:rPr>
                <w:rFonts w:hint="eastAsia" w:ascii="仿宋_GB2312" w:hAnsi="宋体"/>
                <w:color w:val="000000"/>
                <w:kern w:val="0"/>
                <w:sz w:val="20"/>
                <w:szCs w:val="20"/>
              </w:rPr>
              <w:t>）</w:t>
            </w:r>
            <w:r>
              <w:rPr>
                <w:rFonts w:ascii="宋体" w:hAnsi="宋体"/>
                <w:color w:val="000000"/>
                <w:kern w:val="0"/>
                <w:sz w:val="20"/>
                <w:szCs w:val="20"/>
              </w:rPr>
              <w:t> </w:t>
            </w:r>
            <w:r>
              <w:rPr>
                <w:rFonts w:ascii="仿宋_GB2312" w:hAnsi="宋体"/>
                <w:color w:val="000000"/>
                <w:kern w:val="0"/>
                <w:sz w:val="20"/>
                <w:szCs w:val="20"/>
              </w:rPr>
              <w:t>/计划成本×100%。</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宋体" w:hAnsi="宋体"/>
                <w:color w:val="000000"/>
                <w:kern w:val="0"/>
                <w:sz w:val="24"/>
              </w:rPr>
            </w:pPr>
          </w:p>
        </w:tc>
      </w:tr>
      <w:tr>
        <w:tblPrEx>
          <w:tblCellMar>
            <w:top w:w="0" w:type="dxa"/>
            <w:left w:w="108" w:type="dxa"/>
            <w:bottom w:w="0" w:type="dxa"/>
            <w:right w:w="108" w:type="dxa"/>
          </w:tblCellMar>
        </w:tblPrEx>
        <w:trPr>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nil"/>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ascii="仿宋_GB2312" w:hAnsi="宋体"/>
                <w:color w:val="000000"/>
                <w:kern w:val="0"/>
                <w:sz w:val="20"/>
                <w:szCs w:val="20"/>
              </w:rPr>
              <w:t>实际成本：项目实施单位如期、保质、保量完成既定工作目标实际所耗费的支出。</w:t>
            </w:r>
          </w:p>
        </w:tc>
        <w:tc>
          <w:tcPr>
            <w:tcW w:w="358" w:type="dxa"/>
            <w:tcBorders>
              <w:top w:val="nil"/>
              <w:left w:val="nil"/>
              <w:bottom w:val="nil"/>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8</w:t>
            </w:r>
          </w:p>
        </w:tc>
      </w:tr>
      <w:tr>
        <w:tblPrEx>
          <w:tblCellMar>
            <w:top w:w="0" w:type="dxa"/>
            <w:left w:w="108" w:type="dxa"/>
            <w:bottom w:w="0" w:type="dxa"/>
            <w:right w:w="108" w:type="dxa"/>
          </w:tblCellMar>
        </w:tblPrEx>
        <w:trPr>
          <w:trHeight w:val="567"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2458"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计划成本：项目实施单位为完成工作目标计划安排的支出，一般以项目预算为参考。</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ascii="宋体" w:hAnsi="宋体"/>
                <w:color w:val="000000"/>
                <w:kern w:val="0"/>
                <w:sz w:val="24"/>
              </w:rPr>
            </w:pPr>
          </w:p>
        </w:tc>
      </w:tr>
      <w:tr>
        <w:tblPrEx>
          <w:tblCellMar>
            <w:top w:w="0" w:type="dxa"/>
            <w:left w:w="108" w:type="dxa"/>
            <w:bottom w:w="0" w:type="dxa"/>
            <w:right w:w="108" w:type="dxa"/>
          </w:tblCellMar>
        </w:tblPrEx>
        <w:trPr>
          <w:trHeight w:val="667" w:hRule="atLeast"/>
          <w:jc w:val="center"/>
        </w:trPr>
        <w:tc>
          <w:tcPr>
            <w:tcW w:w="63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效果</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673"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项目效益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（20分）</w:t>
            </w: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经济效益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项目实施对经济发展所带来的直接或间接影响情况。</w:t>
            </w:r>
          </w:p>
        </w:tc>
        <w:tc>
          <w:tcPr>
            <w:tcW w:w="4062" w:type="dxa"/>
            <w:vMerge w:val="restart"/>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此四项指标为设置项目支出</w:t>
            </w:r>
            <w:r>
              <w:rPr>
                <w:rFonts w:hint="eastAsia" w:ascii="仿宋_GB2312" w:hAnsi="宋体"/>
                <w:color w:val="000000"/>
                <w:kern w:val="0"/>
                <w:sz w:val="20"/>
                <w:szCs w:val="20"/>
              </w:rPr>
              <w:t>绩效评价</w:t>
            </w:r>
            <w:r>
              <w:rPr>
                <w:rFonts w:ascii="仿宋_GB2312" w:hAnsi="宋体"/>
                <w:color w:val="000000"/>
                <w:kern w:val="0"/>
                <w:sz w:val="20"/>
                <w:szCs w:val="20"/>
              </w:rPr>
              <w:t>指标时必须考虑的共性要素，可根据项目实际并结合绩效目标设立情况有选择的进行设置，并将其细化为相应的个性化指标。</w:t>
            </w: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604"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社会效益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项目实施对社会发展所带来的直接或间接影响情况。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755"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生态效益</w:t>
            </w:r>
          </w:p>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（3分）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项目实施对生态环境所带来的直接或间接影响情况。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3</w:t>
            </w:r>
          </w:p>
        </w:tc>
      </w:tr>
      <w:tr>
        <w:tblPrEx>
          <w:tblCellMar>
            <w:top w:w="0" w:type="dxa"/>
            <w:left w:w="108" w:type="dxa"/>
            <w:bottom w:w="0" w:type="dxa"/>
            <w:right w:w="108" w:type="dxa"/>
          </w:tblCellMar>
        </w:tblPrEx>
        <w:trPr>
          <w:trHeight w:val="596" w:hRule="atLeast"/>
          <w:jc w:val="center"/>
        </w:trPr>
        <w:tc>
          <w:tcPr>
            <w:tcW w:w="63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20"/>
                <w:szCs w:val="20"/>
              </w:rPr>
            </w:pPr>
            <w:r>
              <w:rPr>
                <w:rFonts w:ascii="仿宋_GB2312" w:hAnsi="宋体"/>
                <w:color w:val="000000"/>
                <w:kern w:val="0"/>
                <w:sz w:val="20"/>
                <w:szCs w:val="20"/>
              </w:rPr>
              <w:t>可持续影响（4分）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项目后续运行及成效发挥的可持续影响情况。</w:t>
            </w:r>
          </w:p>
        </w:tc>
        <w:tc>
          <w:tcPr>
            <w:tcW w:w="4062" w:type="dxa"/>
            <w:vMerge w:val="continue"/>
            <w:tcBorders>
              <w:top w:val="nil"/>
              <w:left w:val="nil"/>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358" w:type="dxa"/>
            <w:tcBorders>
              <w:top w:val="nil"/>
              <w:left w:val="nil"/>
              <w:bottom w:val="single" w:color="000000"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hint="eastAsia" w:ascii="宋体" w:hAnsi="宋体"/>
                <w:color w:val="000000"/>
                <w:kern w:val="0"/>
                <w:sz w:val="24"/>
              </w:rPr>
            </w:pPr>
            <w:r>
              <w:rPr>
                <w:rFonts w:hint="eastAsia" w:ascii="宋体" w:hAnsi="宋体"/>
                <w:color w:val="000000"/>
                <w:kern w:val="0"/>
                <w:sz w:val="24"/>
              </w:rPr>
              <w:t>4</w:t>
            </w:r>
          </w:p>
        </w:tc>
      </w:tr>
      <w:tr>
        <w:tblPrEx>
          <w:tblCellMar>
            <w:top w:w="0" w:type="dxa"/>
            <w:left w:w="108" w:type="dxa"/>
            <w:bottom w:w="0" w:type="dxa"/>
            <w:right w:w="108" w:type="dxa"/>
          </w:tblCellMar>
        </w:tblPrEx>
        <w:trPr>
          <w:trHeight w:val="90" w:hRule="atLeast"/>
          <w:jc w:val="center"/>
        </w:trPr>
        <w:tc>
          <w:tcPr>
            <w:tcW w:w="63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673" w:type="dxa"/>
            <w:vMerge w:val="continue"/>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p>
        </w:tc>
        <w:tc>
          <w:tcPr>
            <w:tcW w:w="95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jc w:val="center"/>
              <w:rPr>
                <w:rFonts w:ascii="仿宋_GB2312" w:hAnsi="宋体"/>
                <w:color w:val="000000"/>
                <w:kern w:val="0"/>
                <w:sz w:val="18"/>
                <w:szCs w:val="18"/>
              </w:rPr>
            </w:pPr>
            <w:r>
              <w:rPr>
                <w:rFonts w:ascii="仿宋_GB2312" w:hAnsi="宋体"/>
                <w:color w:val="000000"/>
                <w:kern w:val="0"/>
                <w:sz w:val="18"/>
                <w:szCs w:val="18"/>
              </w:rPr>
              <w:t>社会公众或服务对象满意度（6分）</w:t>
            </w:r>
          </w:p>
        </w:tc>
        <w:tc>
          <w:tcPr>
            <w:tcW w:w="245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20"/>
                <w:szCs w:val="20"/>
              </w:rPr>
            </w:pPr>
            <w:r>
              <w:rPr>
                <w:rFonts w:ascii="仿宋_GB2312" w:hAnsi="宋体"/>
                <w:color w:val="000000"/>
                <w:kern w:val="0"/>
                <w:sz w:val="20"/>
                <w:szCs w:val="20"/>
              </w:rPr>
              <w:t>社会公众或服务对象对项目实施</w:t>
            </w:r>
            <w:r>
              <w:rPr>
                <w:rFonts w:hint="eastAsia" w:ascii="仿宋_GB2312" w:hAnsi="宋体"/>
                <w:color w:val="000000"/>
                <w:kern w:val="0"/>
                <w:sz w:val="20"/>
                <w:szCs w:val="20"/>
              </w:rPr>
              <w:t>效果</w:t>
            </w:r>
            <w:r>
              <w:rPr>
                <w:rFonts w:ascii="仿宋_GB2312" w:hAnsi="宋体"/>
                <w:color w:val="000000"/>
                <w:kern w:val="0"/>
                <w:sz w:val="20"/>
                <w:szCs w:val="20"/>
              </w:rPr>
              <w:t>的满意程度</w:t>
            </w:r>
          </w:p>
        </w:tc>
        <w:tc>
          <w:tcPr>
            <w:tcW w:w="406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ascii="仿宋_GB2312" w:hAnsi="宋体"/>
                <w:color w:val="000000"/>
                <w:kern w:val="0"/>
                <w:sz w:val="18"/>
                <w:szCs w:val="18"/>
              </w:rPr>
            </w:pPr>
            <w:r>
              <w:rPr>
                <w:rFonts w:ascii="仿宋_GB2312" w:hAnsi="宋体"/>
                <w:color w:val="000000"/>
                <w:kern w:val="0"/>
                <w:sz w:val="18"/>
                <w:szCs w:val="18"/>
              </w:rPr>
              <w:t>社会公众或服务对象是指因该项目实施而受到影响的部门</w:t>
            </w:r>
            <w:r>
              <w:rPr>
                <w:rFonts w:hint="eastAsia" w:ascii="仿宋_GB2312" w:hAnsi="宋体"/>
                <w:color w:val="000000"/>
                <w:kern w:val="0"/>
                <w:sz w:val="18"/>
                <w:szCs w:val="18"/>
              </w:rPr>
              <w:t>（</w:t>
            </w:r>
            <w:r>
              <w:rPr>
                <w:rFonts w:ascii="仿宋_GB2312" w:hAnsi="宋体"/>
                <w:color w:val="000000"/>
                <w:kern w:val="0"/>
                <w:sz w:val="18"/>
                <w:szCs w:val="18"/>
              </w:rPr>
              <w:t>单位</w:t>
            </w:r>
            <w:r>
              <w:rPr>
                <w:rFonts w:hint="eastAsia" w:ascii="仿宋_GB2312" w:hAnsi="宋体"/>
                <w:color w:val="000000"/>
                <w:kern w:val="0"/>
                <w:sz w:val="18"/>
                <w:szCs w:val="18"/>
              </w:rPr>
              <w:t>）</w:t>
            </w:r>
            <w:r>
              <w:rPr>
                <w:rFonts w:ascii="仿宋_GB2312" w:hAnsi="宋体"/>
                <w:color w:val="000000"/>
                <w:kern w:val="0"/>
                <w:sz w:val="18"/>
                <w:szCs w:val="18"/>
              </w:rPr>
              <w:t>、群体或个人。一般采取社会调查的方式。</w:t>
            </w:r>
          </w:p>
        </w:tc>
        <w:tc>
          <w:tcPr>
            <w:tcW w:w="358" w:type="dxa"/>
            <w:tcBorders>
              <w:top w:val="nil"/>
              <w:left w:val="nil"/>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rPr>
                <w:rFonts w:hint="eastAsia" w:ascii="宋体" w:hAnsi="宋体"/>
                <w:color w:val="000000"/>
                <w:kern w:val="0"/>
                <w:sz w:val="24"/>
              </w:rPr>
            </w:pPr>
            <w:r>
              <w:rPr>
                <w:rFonts w:hint="eastAsia" w:ascii="宋体" w:hAnsi="宋体"/>
                <w:color w:val="000000"/>
                <w:kern w:val="0"/>
                <w:sz w:val="24"/>
              </w:rPr>
              <w:t>6</w:t>
            </w:r>
          </w:p>
        </w:tc>
      </w:tr>
      <w:tr>
        <w:tblPrEx>
          <w:tblCellMar>
            <w:top w:w="0" w:type="dxa"/>
            <w:left w:w="108" w:type="dxa"/>
            <w:bottom w:w="0" w:type="dxa"/>
            <w:right w:w="108" w:type="dxa"/>
          </w:tblCellMar>
        </w:tblPrEx>
        <w:trPr>
          <w:trHeight w:val="90" w:hRule="atLeast"/>
          <w:jc w:val="center"/>
        </w:trPr>
        <w:tc>
          <w:tcPr>
            <w:tcW w:w="1303" w:type="dxa"/>
            <w:gridSpan w:val="2"/>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240" w:lineRule="atLeast"/>
              <w:ind w:left="0"/>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7837"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tLeast"/>
              <w:ind w:left="0"/>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100</w:t>
            </w:r>
          </w:p>
        </w:tc>
      </w:tr>
    </w:tbl>
    <w:p>
      <w:pPr>
        <w:keepNext w:val="0"/>
        <w:keepLines w:val="0"/>
        <w:pageBreakBefore w:val="0"/>
        <w:kinsoku/>
        <w:wordWrap/>
        <w:overflowPunct/>
        <w:topLinePunct w:val="0"/>
        <w:autoSpaceDE/>
        <w:autoSpaceDN/>
        <w:bidi w:val="0"/>
        <w:adjustRightInd/>
        <w:snapToGrid/>
        <w:spacing w:line="240" w:lineRule="atLeast"/>
        <w:ind w:left="0"/>
      </w:pPr>
    </w:p>
    <w:p>
      <w:pPr>
        <w:keepNext w:val="0"/>
        <w:keepLines w:val="0"/>
        <w:pageBreakBefore w:val="0"/>
        <w:kinsoku/>
        <w:wordWrap/>
        <w:overflowPunct/>
        <w:topLinePunct w:val="0"/>
        <w:autoSpaceDE/>
        <w:autoSpaceDN/>
        <w:bidi w:val="0"/>
        <w:adjustRightInd/>
        <w:snapToGrid/>
        <w:spacing w:line="240" w:lineRule="atLeast"/>
        <w:ind w:left="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D6E41A"/>
    <w:multiLevelType w:val="singleLevel"/>
    <w:tmpl w:val="B0D6E41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Y5Y2YzMzQ3MTkzZDE4MTdjMmNkZWU4OGIwMjE5MjIifQ=="/>
  </w:docVars>
  <w:rsids>
    <w:rsidRoot w:val="26F76658"/>
    <w:rsid w:val="000927A2"/>
    <w:rsid w:val="003B1EB4"/>
    <w:rsid w:val="00EB3CD1"/>
    <w:rsid w:val="01086C64"/>
    <w:rsid w:val="01D42B6D"/>
    <w:rsid w:val="0F4306BA"/>
    <w:rsid w:val="0FCB77DB"/>
    <w:rsid w:val="10D16F18"/>
    <w:rsid w:val="117C7EE7"/>
    <w:rsid w:val="13EC5F71"/>
    <w:rsid w:val="144E4536"/>
    <w:rsid w:val="19E255FA"/>
    <w:rsid w:val="1C200EAE"/>
    <w:rsid w:val="1DA21E5C"/>
    <w:rsid w:val="1E197963"/>
    <w:rsid w:val="1E675979"/>
    <w:rsid w:val="209F553A"/>
    <w:rsid w:val="25F46FCE"/>
    <w:rsid w:val="26247A03"/>
    <w:rsid w:val="26F76658"/>
    <w:rsid w:val="29EA2C0B"/>
    <w:rsid w:val="2D5E5203"/>
    <w:rsid w:val="31E139C2"/>
    <w:rsid w:val="3579545F"/>
    <w:rsid w:val="38EE0F44"/>
    <w:rsid w:val="3AC86541"/>
    <w:rsid w:val="3B2B02C4"/>
    <w:rsid w:val="3D3330CD"/>
    <w:rsid w:val="3D733DE7"/>
    <w:rsid w:val="3FC27A03"/>
    <w:rsid w:val="41C061C4"/>
    <w:rsid w:val="41EC125B"/>
    <w:rsid w:val="43A0005B"/>
    <w:rsid w:val="43B4782A"/>
    <w:rsid w:val="448A696E"/>
    <w:rsid w:val="457F1EF2"/>
    <w:rsid w:val="479848A9"/>
    <w:rsid w:val="49CA5E32"/>
    <w:rsid w:val="4B3544BD"/>
    <w:rsid w:val="4B8F7333"/>
    <w:rsid w:val="4FD7252C"/>
    <w:rsid w:val="4FFC6154"/>
    <w:rsid w:val="50732BBE"/>
    <w:rsid w:val="52481FEA"/>
    <w:rsid w:val="52FC40CD"/>
    <w:rsid w:val="53C9715A"/>
    <w:rsid w:val="551B39E5"/>
    <w:rsid w:val="558B6EAE"/>
    <w:rsid w:val="591542C8"/>
    <w:rsid w:val="59570D64"/>
    <w:rsid w:val="5C415BB9"/>
    <w:rsid w:val="5F814D8D"/>
    <w:rsid w:val="6051475F"/>
    <w:rsid w:val="63DB5E63"/>
    <w:rsid w:val="672F3320"/>
    <w:rsid w:val="68A92037"/>
    <w:rsid w:val="695E7EED"/>
    <w:rsid w:val="6A275A32"/>
    <w:rsid w:val="6F5B1156"/>
    <w:rsid w:val="77106CCA"/>
    <w:rsid w:val="774E77F3"/>
    <w:rsid w:val="78F67E30"/>
    <w:rsid w:val="7A996FD7"/>
    <w:rsid w:val="7CB43C54"/>
    <w:rsid w:val="7F6E4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p17"/>
    <w:basedOn w:val="1"/>
    <w:qFormat/>
    <w:uiPriority w:val="0"/>
    <w:pPr>
      <w:widowControl/>
    </w:pPr>
    <w:rPr>
      <w:kern w:val="0"/>
      <w:szCs w:val="21"/>
    </w:rPr>
  </w:style>
  <w:style w:type="paragraph" w:styleId="8">
    <w:name w:val="List Paragraph"/>
    <w:basedOn w:val="1"/>
    <w:qFormat/>
    <w:uiPriority w:val="99"/>
    <w:pPr>
      <w:ind w:firstLine="420" w:firstLineChars="20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2857</Words>
  <Characters>16288</Characters>
  <Lines>135</Lines>
  <Paragraphs>38</Paragraphs>
  <TotalTime>10</TotalTime>
  <ScaleCrop>false</ScaleCrop>
  <LinksUpToDate>false</LinksUpToDate>
  <CharactersWithSpaces>19107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2024-05-07T03:13:00Z</dcterms:created>
  <dc:creator>___怎扰</dc:creator>
  <cp:lastModifiedBy>Administrator</cp:lastModifiedBy>
  <dcterms:modified xsi:type="dcterms:W3CDTF">2024-12-25T01:57:26Z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7B6877562CB14D5A8721037A221F0FDA_11</vt:lpwstr>
  </property>
</Properties>
</file>